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E39" w14:textId="0DC71989" w:rsidR="00944A4A" w:rsidRPr="003D1442" w:rsidRDefault="00944A4A" w:rsidP="00944A4A">
      <w:pPr>
        <w:jc w:val="center"/>
        <w:rPr>
          <w:b/>
          <w:sz w:val="28"/>
          <w:szCs w:val="28"/>
        </w:rPr>
      </w:pPr>
      <w:r w:rsidRPr="003D1442">
        <w:rPr>
          <w:b/>
          <w:sz w:val="28"/>
          <w:szCs w:val="28"/>
        </w:rPr>
        <w:t>PHIL 4443</w:t>
      </w:r>
      <w:r>
        <w:rPr>
          <w:b/>
          <w:sz w:val="28"/>
          <w:szCs w:val="28"/>
        </w:rPr>
        <w:t xml:space="preserve">, </w:t>
      </w:r>
      <w:r w:rsidRPr="003D1442">
        <w:rPr>
          <w:b/>
          <w:sz w:val="28"/>
          <w:szCs w:val="28"/>
        </w:rPr>
        <w:t>Section</w:t>
      </w:r>
      <w:r w:rsidR="007E62A8">
        <w:rPr>
          <w:b/>
          <w:sz w:val="28"/>
          <w:szCs w:val="28"/>
        </w:rPr>
        <w:t>s</w:t>
      </w:r>
      <w:r w:rsidRPr="003D1442">
        <w:rPr>
          <w:b/>
          <w:sz w:val="28"/>
          <w:szCs w:val="28"/>
        </w:rPr>
        <w:t xml:space="preserve"> 001</w:t>
      </w:r>
      <w:r w:rsidR="00057F1B">
        <w:rPr>
          <w:b/>
          <w:sz w:val="28"/>
          <w:szCs w:val="28"/>
        </w:rPr>
        <w:t>/H01</w:t>
      </w:r>
    </w:p>
    <w:p w14:paraId="7EA09DC4" w14:textId="77777777" w:rsidR="00944A4A" w:rsidRDefault="00944A4A" w:rsidP="00944A4A">
      <w:pPr>
        <w:jc w:val="center"/>
        <w:rPr>
          <w:b/>
          <w:sz w:val="28"/>
          <w:szCs w:val="28"/>
        </w:rPr>
      </w:pPr>
      <w:r w:rsidRPr="003D1442">
        <w:rPr>
          <w:b/>
          <w:sz w:val="28"/>
          <w:szCs w:val="28"/>
        </w:rPr>
        <w:t>Philosophy of Mind</w:t>
      </w:r>
    </w:p>
    <w:p w14:paraId="72D158F8" w14:textId="595C41F2" w:rsidR="00944A4A" w:rsidRDefault="00610490" w:rsidP="00944A4A">
      <w:pPr>
        <w:jc w:val="center"/>
        <w:rPr>
          <w:b/>
          <w:sz w:val="28"/>
          <w:szCs w:val="28"/>
        </w:rPr>
      </w:pPr>
      <w:r>
        <w:rPr>
          <w:b/>
          <w:sz w:val="28"/>
          <w:szCs w:val="28"/>
        </w:rPr>
        <w:t>Fall 202</w:t>
      </w:r>
      <w:r w:rsidR="007E62A8">
        <w:rPr>
          <w:b/>
          <w:sz w:val="28"/>
          <w:szCs w:val="28"/>
        </w:rPr>
        <w:t>2</w:t>
      </w:r>
    </w:p>
    <w:p w14:paraId="0F2E9323" w14:textId="08CF7059" w:rsidR="00300E90" w:rsidRDefault="00300E90" w:rsidP="00944A4A">
      <w:pPr>
        <w:jc w:val="center"/>
        <w:rPr>
          <w:b/>
          <w:sz w:val="28"/>
          <w:szCs w:val="28"/>
        </w:rPr>
      </w:pPr>
    </w:p>
    <w:p w14:paraId="644F0A2B" w14:textId="77777777" w:rsidR="00944A4A" w:rsidRDefault="00944A4A" w:rsidP="00944A4A">
      <w:pPr>
        <w:jc w:val="right"/>
      </w:pPr>
    </w:p>
    <w:p w14:paraId="4745F900" w14:textId="7E086A8C" w:rsidR="00944A4A" w:rsidRDefault="00944A4A" w:rsidP="00610490">
      <w:r w:rsidRPr="003D1442">
        <w:rPr>
          <w:u w:val="single"/>
        </w:rPr>
        <w:t>Class Location:</w:t>
      </w:r>
      <w:r w:rsidR="007E62A8">
        <w:t xml:space="preserve"> HSS 1032</w:t>
      </w:r>
      <w:r w:rsidR="00610490">
        <w:tab/>
      </w:r>
      <w:r>
        <w:tab/>
      </w:r>
      <w:r>
        <w:tab/>
      </w:r>
      <w:r>
        <w:tab/>
      </w:r>
      <w:r>
        <w:tab/>
      </w:r>
      <w:r w:rsidRPr="003D1442">
        <w:rPr>
          <w:u w:val="single"/>
        </w:rPr>
        <w:t>Instructor:</w:t>
      </w:r>
      <w:r>
        <w:t xml:space="preserve"> Michele Merritt, Ph.D.</w:t>
      </w:r>
    </w:p>
    <w:p w14:paraId="626E459F" w14:textId="2852A825" w:rsidR="00944A4A" w:rsidRDefault="00944A4A" w:rsidP="00610490">
      <w:r w:rsidRPr="003D1442">
        <w:rPr>
          <w:u w:val="single"/>
        </w:rPr>
        <w:t>Class Meeting Times:</w:t>
      </w:r>
      <w:r>
        <w:tab/>
      </w:r>
      <w:r w:rsidR="007E62A8">
        <w:t xml:space="preserve">TR 2-3:15pm </w:t>
      </w:r>
      <w:r w:rsidR="007E62A8">
        <w:tab/>
      </w:r>
      <w:r>
        <w:tab/>
      </w:r>
      <w:r w:rsidR="007E62A8">
        <w:tab/>
      </w:r>
      <w:r w:rsidR="007E62A8">
        <w:tab/>
      </w:r>
      <w:r w:rsidR="00610490" w:rsidRPr="003D1442">
        <w:rPr>
          <w:u w:val="single"/>
        </w:rPr>
        <w:t>Office Hours:</w:t>
      </w:r>
      <w:r w:rsidR="00610490">
        <w:t xml:space="preserve"> By Appointment</w:t>
      </w:r>
    </w:p>
    <w:p w14:paraId="3B71CFAF" w14:textId="13285810" w:rsidR="00944A4A" w:rsidRPr="007E62A8" w:rsidRDefault="00944A4A" w:rsidP="00610490">
      <w:r w:rsidRPr="007E62A8">
        <w:rPr>
          <w:u w:val="single"/>
        </w:rPr>
        <w:t>CR#:</w:t>
      </w:r>
      <w:r w:rsidR="00610490" w:rsidRPr="007E62A8">
        <w:t xml:space="preserve"> </w:t>
      </w:r>
      <w:r w:rsidR="007E62A8" w:rsidRPr="007E62A8">
        <w:t xml:space="preserve">64345 and </w:t>
      </w:r>
      <w:r w:rsidR="007E62A8">
        <w:t>64630</w:t>
      </w:r>
      <w:r w:rsidRPr="007E62A8">
        <w:tab/>
      </w:r>
      <w:r w:rsidRPr="007E62A8">
        <w:tab/>
      </w:r>
      <w:r w:rsidRPr="007E62A8">
        <w:tab/>
      </w:r>
      <w:r w:rsidRPr="007E62A8">
        <w:tab/>
      </w:r>
      <w:r w:rsidRPr="007E62A8">
        <w:tab/>
      </w:r>
      <w:r w:rsidR="00610490" w:rsidRPr="007E62A8">
        <w:rPr>
          <w:u w:val="single"/>
        </w:rPr>
        <w:t>Email</w:t>
      </w:r>
      <w:r w:rsidR="00610490" w:rsidRPr="007E62A8">
        <w:t xml:space="preserve">: mmerritt@astate.edu </w:t>
      </w:r>
    </w:p>
    <w:p w14:paraId="18394E22" w14:textId="4A1D8C0B" w:rsidR="00944A4A" w:rsidRPr="007E62A8" w:rsidRDefault="00944A4A" w:rsidP="00610490">
      <w:r w:rsidRPr="007E62A8">
        <w:tab/>
      </w:r>
      <w:r w:rsidRPr="007E62A8">
        <w:tab/>
      </w:r>
      <w:r w:rsidRPr="007E62A8">
        <w:tab/>
      </w:r>
      <w:r w:rsidRPr="007E62A8">
        <w:tab/>
      </w:r>
      <w:r w:rsidRPr="007E62A8">
        <w:tab/>
      </w:r>
      <w:r w:rsidRPr="007E62A8">
        <w:tab/>
      </w:r>
      <w:r w:rsidRPr="007E62A8">
        <w:tab/>
      </w:r>
      <w:r w:rsidRPr="007E62A8">
        <w:tab/>
      </w:r>
    </w:p>
    <w:p w14:paraId="6360B08E" w14:textId="47AE5704" w:rsidR="00944A4A" w:rsidRPr="00EE3AC6" w:rsidRDefault="00944A4A" w:rsidP="00057F1B">
      <w:pPr>
        <w:rPr>
          <w:rFonts w:asciiTheme="majorBidi" w:hAnsiTheme="majorBidi" w:cstheme="majorBidi"/>
          <w:b/>
          <w:sz w:val="20"/>
          <w:szCs w:val="20"/>
          <w:u w:val="single"/>
          <w:lang w:val="fr-FR"/>
        </w:rPr>
      </w:pPr>
      <w:r w:rsidRPr="00EE3AC6">
        <w:rPr>
          <w:rFonts w:asciiTheme="majorBidi" w:hAnsiTheme="majorBidi" w:cstheme="majorBidi"/>
          <w:b/>
          <w:sz w:val="20"/>
          <w:szCs w:val="20"/>
          <w:u w:val="single"/>
          <w:lang w:val="fr-FR"/>
        </w:rPr>
        <w:t>Course Description</w:t>
      </w:r>
    </w:p>
    <w:p w14:paraId="0F62183F" w14:textId="77777777" w:rsidR="00944A4A" w:rsidRPr="00EE3AC6" w:rsidRDefault="00944A4A" w:rsidP="00944A4A">
      <w:pPr>
        <w:rPr>
          <w:rFonts w:asciiTheme="majorBidi" w:hAnsiTheme="majorBidi" w:cstheme="majorBidi"/>
          <w:sz w:val="20"/>
          <w:szCs w:val="20"/>
        </w:rPr>
      </w:pPr>
      <w:r w:rsidRPr="00EE3AC6">
        <w:rPr>
          <w:rFonts w:asciiTheme="majorBidi" w:hAnsiTheme="majorBidi" w:cstheme="majorBidi"/>
          <w:sz w:val="20"/>
          <w:szCs w:val="20"/>
        </w:rPr>
        <w:t>Foundational issues in the study of mind, includes the nature of mind, the relation of psychology to physical science, and theories of mental content. Prerequisite, PHIL 1103 or permission of instructor.</w:t>
      </w:r>
    </w:p>
    <w:p w14:paraId="4148E880" w14:textId="77777777" w:rsidR="00944A4A" w:rsidRPr="00EE3AC6" w:rsidRDefault="00944A4A" w:rsidP="00944A4A">
      <w:pPr>
        <w:rPr>
          <w:rFonts w:asciiTheme="majorBidi" w:hAnsiTheme="majorBidi" w:cstheme="majorBidi"/>
          <w:sz w:val="20"/>
          <w:szCs w:val="20"/>
        </w:rPr>
      </w:pPr>
    </w:p>
    <w:p w14:paraId="28040D4E" w14:textId="7AD57BEA" w:rsidR="00DA4848" w:rsidRDefault="00944A4A" w:rsidP="00537A78">
      <w:pPr>
        <w:rPr>
          <w:rFonts w:asciiTheme="majorBidi" w:hAnsiTheme="majorBidi" w:cstheme="majorBidi"/>
          <w:sz w:val="20"/>
          <w:szCs w:val="20"/>
        </w:rPr>
      </w:pPr>
      <w:r w:rsidRPr="00EE3AC6">
        <w:rPr>
          <w:rFonts w:asciiTheme="majorBidi" w:hAnsiTheme="majorBidi" w:cstheme="majorBidi"/>
          <w:sz w:val="20"/>
          <w:szCs w:val="20"/>
        </w:rPr>
        <w:t xml:space="preserve">This is an upper-level survey course in which we will familiarize ourselves with the historical background and contemporary issues related to human and non-human thought. Although this </w:t>
      </w:r>
      <w:r w:rsidR="00537A78">
        <w:rPr>
          <w:rFonts w:asciiTheme="majorBidi" w:hAnsiTheme="majorBidi" w:cstheme="majorBidi"/>
          <w:sz w:val="20"/>
          <w:szCs w:val="20"/>
        </w:rPr>
        <w:t xml:space="preserve">is a </w:t>
      </w:r>
      <w:r w:rsidRPr="00EE3AC6">
        <w:rPr>
          <w:rFonts w:asciiTheme="majorBidi" w:hAnsiTheme="majorBidi" w:cstheme="majorBidi"/>
          <w:i/>
          <w:iCs/>
          <w:sz w:val="20"/>
          <w:szCs w:val="20"/>
        </w:rPr>
        <w:t xml:space="preserve">philosophy </w:t>
      </w:r>
      <w:r w:rsidR="0041318D">
        <w:rPr>
          <w:rFonts w:asciiTheme="majorBidi" w:hAnsiTheme="majorBidi" w:cstheme="majorBidi"/>
          <w:sz w:val="20"/>
          <w:szCs w:val="20"/>
        </w:rPr>
        <w:t>course</w:t>
      </w:r>
      <w:r w:rsidRPr="00EE3AC6">
        <w:rPr>
          <w:rFonts w:asciiTheme="majorBidi" w:hAnsiTheme="majorBidi" w:cstheme="majorBidi"/>
          <w:sz w:val="20"/>
          <w:szCs w:val="20"/>
        </w:rPr>
        <w:t xml:space="preserve">, we will </w:t>
      </w:r>
      <w:r w:rsidR="0041318D">
        <w:rPr>
          <w:rFonts w:asciiTheme="majorBidi" w:hAnsiTheme="majorBidi" w:cstheme="majorBidi"/>
          <w:sz w:val="20"/>
          <w:szCs w:val="20"/>
        </w:rPr>
        <w:t xml:space="preserve">examine questions pertaining to the mind from </w:t>
      </w:r>
      <w:r w:rsidR="00077326">
        <w:rPr>
          <w:rFonts w:asciiTheme="majorBidi" w:hAnsiTheme="majorBidi" w:cstheme="majorBidi"/>
          <w:sz w:val="20"/>
          <w:szCs w:val="20"/>
        </w:rPr>
        <w:t>several</w:t>
      </w:r>
      <w:r w:rsidRPr="00EE3AC6">
        <w:rPr>
          <w:rFonts w:asciiTheme="majorBidi" w:hAnsiTheme="majorBidi" w:cstheme="majorBidi"/>
          <w:sz w:val="20"/>
          <w:szCs w:val="20"/>
        </w:rPr>
        <w:t xml:space="preserve"> different disciplines</w:t>
      </w:r>
      <w:r w:rsidR="0041318D">
        <w:rPr>
          <w:rFonts w:asciiTheme="majorBidi" w:hAnsiTheme="majorBidi" w:cstheme="majorBidi"/>
          <w:sz w:val="20"/>
          <w:szCs w:val="20"/>
        </w:rPr>
        <w:t>,</w:t>
      </w:r>
      <w:r w:rsidRPr="00EE3AC6">
        <w:rPr>
          <w:rFonts w:asciiTheme="majorBidi" w:hAnsiTheme="majorBidi" w:cstheme="majorBidi"/>
          <w:sz w:val="20"/>
          <w:szCs w:val="20"/>
        </w:rPr>
        <w:t xml:space="preserve"> including cognitive science, neuroscience, psychol</w:t>
      </w:r>
      <w:r w:rsidR="00077326">
        <w:rPr>
          <w:rFonts w:asciiTheme="majorBidi" w:hAnsiTheme="majorBidi" w:cstheme="majorBidi"/>
          <w:sz w:val="20"/>
          <w:szCs w:val="20"/>
        </w:rPr>
        <w:t xml:space="preserve">ogy, linguistics, and robotics. </w:t>
      </w:r>
      <w:r w:rsidRPr="00EE3AC6">
        <w:rPr>
          <w:rFonts w:asciiTheme="majorBidi" w:hAnsiTheme="majorBidi" w:cstheme="majorBidi"/>
          <w:sz w:val="20"/>
          <w:szCs w:val="20"/>
        </w:rPr>
        <w:t xml:space="preserve">Some questions we will consider specifically are: </w:t>
      </w:r>
      <w:r w:rsidR="00077326">
        <w:rPr>
          <w:rFonts w:asciiTheme="majorBidi" w:hAnsiTheme="majorBidi" w:cstheme="majorBidi"/>
          <w:sz w:val="20"/>
          <w:szCs w:val="20"/>
        </w:rPr>
        <w:t>What does the term ‘mind’</w:t>
      </w:r>
      <w:r w:rsidR="00537A78">
        <w:rPr>
          <w:rFonts w:asciiTheme="majorBidi" w:hAnsiTheme="majorBidi" w:cstheme="majorBidi"/>
          <w:sz w:val="20"/>
          <w:szCs w:val="20"/>
        </w:rPr>
        <w:t xml:space="preserve"> even mean</w:t>
      </w:r>
      <w:r w:rsidR="00077326">
        <w:rPr>
          <w:rFonts w:asciiTheme="majorBidi" w:hAnsiTheme="majorBidi" w:cstheme="majorBidi"/>
          <w:sz w:val="20"/>
          <w:szCs w:val="20"/>
        </w:rPr>
        <w:t>? Are thoughts entirely physical? Are they entirely in the brain? Is consciousness ever going to be fully explained by science</w:t>
      </w:r>
      <w:r w:rsidRPr="00EE3AC6">
        <w:rPr>
          <w:rFonts w:asciiTheme="majorBidi" w:hAnsiTheme="majorBidi" w:cstheme="majorBidi"/>
          <w:sz w:val="20"/>
          <w:szCs w:val="20"/>
        </w:rPr>
        <w:t xml:space="preserve">? How can we be sure that other beings have minds? Is it possible to engineer ‘artificial’ minds such that computers or robots might be said to possess a mind? </w:t>
      </w:r>
    </w:p>
    <w:p w14:paraId="6EBB27F7" w14:textId="77777777" w:rsidR="00077326" w:rsidRDefault="00077326" w:rsidP="00077326">
      <w:pPr>
        <w:rPr>
          <w:rFonts w:asciiTheme="majorBidi" w:hAnsiTheme="majorBidi" w:cstheme="majorBidi"/>
          <w:sz w:val="20"/>
          <w:szCs w:val="20"/>
        </w:rPr>
      </w:pPr>
    </w:p>
    <w:p w14:paraId="37B01A1F" w14:textId="566C166F" w:rsidR="00077326" w:rsidRPr="00EE3AC6" w:rsidRDefault="00057F1B" w:rsidP="00077326">
      <w:pPr>
        <w:rPr>
          <w:rFonts w:asciiTheme="majorBidi" w:hAnsiTheme="majorBidi" w:cstheme="majorBidi"/>
          <w:sz w:val="20"/>
          <w:szCs w:val="20"/>
        </w:rPr>
      </w:pPr>
      <w:r>
        <w:rPr>
          <w:rFonts w:asciiTheme="majorBidi" w:hAnsiTheme="majorBidi" w:cstheme="majorBidi"/>
          <w:b/>
          <w:sz w:val="20"/>
          <w:szCs w:val="20"/>
          <w:u w:val="single"/>
        </w:rPr>
        <w:t>Program Outcomes:</w:t>
      </w:r>
      <w:r w:rsidR="00077326" w:rsidRPr="00EE3AC6">
        <w:rPr>
          <w:rFonts w:asciiTheme="majorBidi" w:hAnsiTheme="majorBidi" w:cstheme="majorBidi"/>
          <w:b/>
          <w:sz w:val="20"/>
          <w:szCs w:val="20"/>
          <w:u w:val="single"/>
        </w:rPr>
        <w:br/>
      </w:r>
      <w:r w:rsidR="00077326" w:rsidRPr="00EE3AC6">
        <w:rPr>
          <w:rFonts w:asciiTheme="majorBidi" w:hAnsiTheme="majorBidi" w:cstheme="majorBidi"/>
          <w:sz w:val="20"/>
          <w:szCs w:val="20"/>
        </w:rPr>
        <w:t>This course contributes to the following program-level outcomes:</w:t>
      </w:r>
      <w:r w:rsidR="00077326" w:rsidRPr="00EE3AC6">
        <w:rPr>
          <w:rFonts w:asciiTheme="majorBidi" w:hAnsiTheme="majorBidi" w:cstheme="majorBidi"/>
          <w:sz w:val="20"/>
          <w:szCs w:val="20"/>
        </w:rPr>
        <w:br/>
      </w:r>
      <w:r w:rsidR="00077326" w:rsidRPr="00EE3AC6">
        <w:rPr>
          <w:rFonts w:asciiTheme="majorBidi" w:hAnsiTheme="majorBidi" w:cstheme="majorBidi"/>
          <w:sz w:val="20"/>
          <w:szCs w:val="20"/>
        </w:rPr>
        <w:br/>
        <w:t>1) Students will understand central issues and theories in philosophy (from among the major areas of metaphysics, epistemology, and value theory).</w:t>
      </w:r>
      <w:r w:rsidR="00077326" w:rsidRPr="00EE3AC6">
        <w:rPr>
          <w:rFonts w:asciiTheme="majorBidi" w:hAnsiTheme="majorBidi" w:cstheme="majorBidi"/>
          <w:sz w:val="20"/>
          <w:szCs w:val="20"/>
        </w:rPr>
        <w:br/>
        <w:t>2) Students will be able to analyze and explain complicated ideas.</w:t>
      </w:r>
      <w:r w:rsidR="00077326" w:rsidRPr="00EE3AC6">
        <w:rPr>
          <w:rFonts w:asciiTheme="majorBidi" w:hAnsiTheme="majorBidi" w:cstheme="majorBidi"/>
          <w:sz w:val="20"/>
          <w:szCs w:val="20"/>
        </w:rPr>
        <w:br/>
        <w:t>3) Students will be able to analyze arguments.</w:t>
      </w:r>
      <w:r w:rsidR="00077326" w:rsidRPr="00EE3AC6">
        <w:rPr>
          <w:rFonts w:asciiTheme="majorBidi" w:hAnsiTheme="majorBidi" w:cstheme="majorBidi"/>
          <w:sz w:val="20"/>
          <w:szCs w:val="20"/>
        </w:rPr>
        <w:br/>
        <w:t>4) Students will be able to evaluate arguments.</w:t>
      </w:r>
    </w:p>
    <w:p w14:paraId="79E6EC01" w14:textId="77777777" w:rsidR="00077326" w:rsidRPr="00EE3AC6" w:rsidRDefault="00077326" w:rsidP="00077326">
      <w:pPr>
        <w:rPr>
          <w:rFonts w:asciiTheme="majorBidi" w:hAnsiTheme="majorBidi" w:cstheme="majorBidi"/>
          <w:b/>
          <w:sz w:val="20"/>
          <w:szCs w:val="20"/>
          <w:u w:val="single"/>
        </w:rPr>
      </w:pPr>
    </w:p>
    <w:p w14:paraId="2AF8CCEA" w14:textId="77777777" w:rsidR="00077326" w:rsidRPr="00EE3AC6" w:rsidRDefault="00077326" w:rsidP="00077326">
      <w:pPr>
        <w:rPr>
          <w:rFonts w:asciiTheme="majorBidi" w:hAnsiTheme="majorBidi" w:cstheme="majorBidi"/>
          <w:b/>
          <w:sz w:val="20"/>
          <w:szCs w:val="20"/>
          <w:u w:val="single"/>
        </w:rPr>
      </w:pPr>
      <w:r w:rsidRPr="00EE3AC6">
        <w:rPr>
          <w:rFonts w:asciiTheme="majorBidi" w:hAnsiTheme="majorBidi" w:cstheme="majorBidi"/>
          <w:b/>
          <w:sz w:val="20"/>
          <w:szCs w:val="20"/>
          <w:u w:val="single"/>
        </w:rPr>
        <w:t xml:space="preserve">Course Outcomes: </w:t>
      </w:r>
    </w:p>
    <w:p w14:paraId="25D9EBE0" w14:textId="77777777" w:rsidR="00077326" w:rsidRPr="00EE3AC6" w:rsidRDefault="00077326" w:rsidP="00077326">
      <w:pPr>
        <w:rPr>
          <w:rFonts w:asciiTheme="majorBidi" w:hAnsiTheme="majorBidi" w:cstheme="majorBidi"/>
          <w:sz w:val="20"/>
          <w:szCs w:val="20"/>
        </w:rPr>
      </w:pPr>
      <w:r w:rsidRPr="00EE3AC6">
        <w:rPr>
          <w:rFonts w:asciiTheme="majorBidi" w:hAnsiTheme="majorBidi" w:cstheme="majorBidi"/>
          <w:sz w:val="20"/>
          <w:szCs w:val="20"/>
        </w:rPr>
        <w:t xml:space="preserve">Successful Students in this course will: </w:t>
      </w:r>
    </w:p>
    <w:p w14:paraId="343AB310" w14:textId="77777777" w:rsidR="00077326" w:rsidRPr="00EE3AC6" w:rsidRDefault="00077326" w:rsidP="00077326">
      <w:pPr>
        <w:rPr>
          <w:rFonts w:asciiTheme="majorBidi" w:hAnsiTheme="majorBidi" w:cstheme="majorBidi"/>
          <w:sz w:val="20"/>
          <w:szCs w:val="20"/>
        </w:rPr>
      </w:pPr>
    </w:p>
    <w:p w14:paraId="4AF4399D" w14:textId="77777777" w:rsidR="00077326" w:rsidRPr="00EE3AC6" w:rsidRDefault="00077326" w:rsidP="00077326">
      <w:pPr>
        <w:rPr>
          <w:rFonts w:asciiTheme="majorBidi" w:hAnsiTheme="majorBidi" w:cstheme="majorBidi"/>
          <w:sz w:val="20"/>
          <w:szCs w:val="20"/>
        </w:rPr>
      </w:pPr>
      <w:r w:rsidRPr="00EE3AC6">
        <w:rPr>
          <w:rFonts w:asciiTheme="majorBidi" w:hAnsiTheme="majorBidi" w:cstheme="majorBidi"/>
          <w:sz w:val="20"/>
          <w:szCs w:val="20"/>
        </w:rPr>
        <w:t>1. Develop an understanding and mastery of the key concepts, problems, arguments, and theories pertaining to the philosophical discourse concerning the mind (This satisfies the general program goal for the College of Humanities and Social Sciences: Developing an appreciation of the Arts and Humanities)</w:t>
      </w:r>
    </w:p>
    <w:p w14:paraId="16531CD8" w14:textId="77777777" w:rsidR="00077326" w:rsidRPr="00EE3AC6" w:rsidRDefault="00077326" w:rsidP="00077326">
      <w:pPr>
        <w:rPr>
          <w:rFonts w:asciiTheme="majorBidi" w:hAnsiTheme="majorBidi" w:cstheme="majorBidi"/>
          <w:sz w:val="20"/>
          <w:szCs w:val="20"/>
        </w:rPr>
      </w:pPr>
    </w:p>
    <w:p w14:paraId="0D865806" w14:textId="77777777" w:rsidR="00077326" w:rsidRPr="00EE3AC6" w:rsidRDefault="00077326" w:rsidP="00077326">
      <w:pPr>
        <w:rPr>
          <w:rFonts w:asciiTheme="majorBidi" w:hAnsiTheme="majorBidi" w:cstheme="majorBidi"/>
          <w:sz w:val="20"/>
          <w:szCs w:val="20"/>
        </w:rPr>
      </w:pPr>
      <w:r w:rsidRPr="00EE3AC6">
        <w:rPr>
          <w:rFonts w:asciiTheme="majorBidi" w:hAnsiTheme="majorBidi" w:cstheme="majorBidi"/>
          <w:sz w:val="20"/>
          <w:szCs w:val="20"/>
        </w:rPr>
        <w:t>2. Develop the critical skills necessary to coherently discuss and evaluate various philosophical figures and ideas, by improving their expository writing, critical reading, critical thinking, and communication skills; for example, they will become more adept at separating arguments from assertions, at finding objections and counterexamples to theories, at explaining complicated/abstract ideas, etc.</w:t>
      </w:r>
    </w:p>
    <w:p w14:paraId="75EB9194" w14:textId="77777777" w:rsidR="00077326" w:rsidRPr="00EE3AC6" w:rsidRDefault="00077326" w:rsidP="00077326">
      <w:pPr>
        <w:rPr>
          <w:rFonts w:asciiTheme="majorBidi" w:hAnsiTheme="majorBidi" w:cstheme="majorBidi"/>
          <w:sz w:val="20"/>
          <w:szCs w:val="20"/>
        </w:rPr>
      </w:pPr>
    </w:p>
    <w:p w14:paraId="693CCBD5" w14:textId="77777777" w:rsidR="00077326" w:rsidRPr="00EE3AC6" w:rsidRDefault="00077326" w:rsidP="00077326">
      <w:pPr>
        <w:rPr>
          <w:rFonts w:asciiTheme="majorBidi" w:hAnsiTheme="majorBidi" w:cstheme="majorBidi"/>
          <w:sz w:val="20"/>
          <w:szCs w:val="20"/>
        </w:rPr>
      </w:pPr>
      <w:r w:rsidRPr="00EE3AC6">
        <w:rPr>
          <w:rFonts w:asciiTheme="majorBidi" w:hAnsiTheme="majorBidi" w:cstheme="majorBidi"/>
          <w:sz w:val="20"/>
          <w:szCs w:val="20"/>
        </w:rPr>
        <w:t xml:space="preserve">3. Be better prepared for graduate study in philosophy, should they choose, or a variety of other professions, such as the clergy, the legal profession, politics, and medicine.    </w:t>
      </w:r>
    </w:p>
    <w:p w14:paraId="5C6487F7" w14:textId="77777777" w:rsidR="00077326" w:rsidRDefault="00077326" w:rsidP="00077326">
      <w:pPr>
        <w:rPr>
          <w:rFonts w:asciiTheme="majorBidi" w:hAnsiTheme="majorBidi" w:cstheme="majorBidi"/>
          <w:sz w:val="20"/>
          <w:szCs w:val="20"/>
        </w:rPr>
      </w:pPr>
    </w:p>
    <w:p w14:paraId="17C0E38D" w14:textId="77777777" w:rsidR="00077326" w:rsidRDefault="00077326" w:rsidP="00077326">
      <w:pPr>
        <w:rPr>
          <w:rFonts w:asciiTheme="majorBidi" w:hAnsiTheme="majorBidi" w:cstheme="majorBidi"/>
          <w:b/>
          <w:bCs/>
          <w:sz w:val="20"/>
          <w:szCs w:val="20"/>
          <w:u w:val="single"/>
        </w:rPr>
      </w:pPr>
      <w:r>
        <w:rPr>
          <w:rFonts w:asciiTheme="majorBidi" w:hAnsiTheme="majorBidi" w:cstheme="majorBidi"/>
          <w:b/>
          <w:bCs/>
          <w:sz w:val="20"/>
          <w:szCs w:val="20"/>
          <w:u w:val="single"/>
        </w:rPr>
        <w:t xml:space="preserve">Assessment of Course/Program Outcomes </w:t>
      </w:r>
    </w:p>
    <w:p w14:paraId="5DE66360" w14:textId="77777777" w:rsidR="00077326" w:rsidRDefault="00077326" w:rsidP="00077326">
      <w:pPr>
        <w:rPr>
          <w:rFonts w:asciiTheme="majorBidi" w:hAnsiTheme="majorBidi" w:cstheme="majorBidi"/>
          <w:sz w:val="20"/>
          <w:szCs w:val="20"/>
        </w:rPr>
      </w:pPr>
      <w:r>
        <w:rPr>
          <w:rFonts w:asciiTheme="majorBidi" w:hAnsiTheme="majorBidi" w:cstheme="majorBidi"/>
          <w:sz w:val="20"/>
          <w:szCs w:val="20"/>
        </w:rPr>
        <w:t xml:space="preserve">Besides the assessment measures listed below, students will be assessed as to how well they have met the course and program goals via an embedded question in one of the essay assignments during the course. </w:t>
      </w:r>
    </w:p>
    <w:p w14:paraId="6A7F3AD4" w14:textId="435AD85A" w:rsidR="00077326" w:rsidRDefault="00077326" w:rsidP="00077326">
      <w:pPr>
        <w:rPr>
          <w:rFonts w:asciiTheme="majorBidi" w:hAnsiTheme="majorBidi" w:cstheme="majorBidi"/>
          <w:sz w:val="20"/>
          <w:szCs w:val="20"/>
        </w:rPr>
      </w:pPr>
    </w:p>
    <w:p w14:paraId="0F2ABCB4" w14:textId="77777777" w:rsidR="007E62A8" w:rsidRDefault="007E62A8" w:rsidP="00077326">
      <w:pPr>
        <w:rPr>
          <w:rFonts w:asciiTheme="majorBidi" w:hAnsiTheme="majorBidi" w:cstheme="majorBidi"/>
          <w:sz w:val="20"/>
          <w:szCs w:val="20"/>
        </w:rPr>
      </w:pPr>
    </w:p>
    <w:p w14:paraId="6DEEB0C3" w14:textId="79000B25" w:rsidR="007E62A8" w:rsidRDefault="007E62A8" w:rsidP="00077326">
      <w:pPr>
        <w:rPr>
          <w:rFonts w:asciiTheme="majorBidi" w:hAnsiTheme="majorBidi" w:cstheme="majorBidi"/>
          <w:sz w:val="20"/>
          <w:szCs w:val="20"/>
        </w:rPr>
      </w:pPr>
    </w:p>
    <w:p w14:paraId="11B87046" w14:textId="77777777" w:rsidR="007E62A8" w:rsidRDefault="007E62A8" w:rsidP="00077326">
      <w:pPr>
        <w:rPr>
          <w:rFonts w:asciiTheme="majorBidi" w:hAnsiTheme="majorBidi" w:cstheme="majorBidi"/>
          <w:sz w:val="20"/>
          <w:szCs w:val="20"/>
        </w:rPr>
      </w:pPr>
    </w:p>
    <w:p w14:paraId="2E00D8DE" w14:textId="77777777" w:rsidR="00077326" w:rsidRPr="00EE3AC6" w:rsidRDefault="00077326" w:rsidP="00077326">
      <w:pPr>
        <w:rPr>
          <w:rFonts w:asciiTheme="majorBidi" w:hAnsiTheme="majorBidi" w:cstheme="majorBidi"/>
          <w:sz w:val="20"/>
          <w:szCs w:val="20"/>
        </w:rPr>
      </w:pPr>
    </w:p>
    <w:p w14:paraId="718C8E2B" w14:textId="77777777" w:rsidR="00077326" w:rsidRPr="00EE3AC6" w:rsidRDefault="00077326" w:rsidP="00077326">
      <w:pPr>
        <w:rPr>
          <w:rFonts w:asciiTheme="majorBidi" w:hAnsiTheme="majorBidi" w:cstheme="majorBidi"/>
          <w:b/>
          <w:sz w:val="20"/>
          <w:szCs w:val="20"/>
          <w:u w:val="single"/>
        </w:rPr>
      </w:pPr>
      <w:r w:rsidRPr="00EE3AC6">
        <w:rPr>
          <w:rFonts w:asciiTheme="majorBidi" w:hAnsiTheme="majorBidi" w:cstheme="majorBidi"/>
          <w:b/>
          <w:sz w:val="20"/>
          <w:szCs w:val="20"/>
          <w:u w:val="single"/>
        </w:rPr>
        <w:lastRenderedPageBreak/>
        <w:t>Required Materials</w:t>
      </w:r>
    </w:p>
    <w:p w14:paraId="3836F970" w14:textId="336D1AE0" w:rsidR="00077326" w:rsidRDefault="00077326" w:rsidP="00077326">
      <w:pPr>
        <w:rPr>
          <w:rFonts w:asciiTheme="majorBidi" w:hAnsiTheme="majorBidi" w:cstheme="majorBidi"/>
          <w:sz w:val="20"/>
          <w:szCs w:val="20"/>
        </w:rPr>
      </w:pPr>
      <w:r w:rsidRPr="00EE3AC6">
        <w:rPr>
          <w:rFonts w:asciiTheme="majorBidi" w:hAnsiTheme="majorBidi" w:cstheme="majorBidi"/>
          <w:sz w:val="20"/>
          <w:szCs w:val="20"/>
        </w:rPr>
        <w:t xml:space="preserve">Chalmers, D. (ed). </w:t>
      </w:r>
      <w:r w:rsidRPr="00EE3AC6">
        <w:rPr>
          <w:rFonts w:asciiTheme="majorBidi" w:hAnsiTheme="majorBidi" w:cstheme="majorBidi"/>
          <w:i/>
          <w:sz w:val="20"/>
          <w:szCs w:val="20"/>
        </w:rPr>
        <w:t xml:space="preserve">Philosophy of Mind: Classical and Contemporary Readings. </w:t>
      </w:r>
      <w:r w:rsidRPr="00EE3AC6">
        <w:rPr>
          <w:rFonts w:asciiTheme="majorBidi" w:hAnsiTheme="majorBidi" w:cstheme="majorBidi"/>
          <w:sz w:val="20"/>
          <w:szCs w:val="20"/>
        </w:rPr>
        <w:t>Oxford.</w:t>
      </w:r>
      <w:r w:rsidR="00D56C87">
        <w:rPr>
          <w:rFonts w:asciiTheme="majorBidi" w:hAnsiTheme="majorBidi" w:cstheme="majorBidi"/>
          <w:sz w:val="20"/>
          <w:szCs w:val="20"/>
        </w:rPr>
        <w:t xml:space="preserve"> (Be sure to get the 2</w:t>
      </w:r>
      <w:r w:rsidR="00D56C87" w:rsidRPr="00D56C87">
        <w:rPr>
          <w:rFonts w:asciiTheme="majorBidi" w:hAnsiTheme="majorBidi" w:cstheme="majorBidi"/>
          <w:sz w:val="20"/>
          <w:szCs w:val="20"/>
          <w:vertAlign w:val="superscript"/>
        </w:rPr>
        <w:t>nd</w:t>
      </w:r>
      <w:r w:rsidR="00D56C87">
        <w:rPr>
          <w:rFonts w:asciiTheme="majorBidi" w:hAnsiTheme="majorBidi" w:cstheme="majorBidi"/>
          <w:sz w:val="20"/>
          <w:szCs w:val="20"/>
        </w:rPr>
        <w:t xml:space="preserve"> Edition) </w:t>
      </w:r>
    </w:p>
    <w:p w14:paraId="7BACDB56" w14:textId="77777777" w:rsidR="00D56C87" w:rsidRPr="00EE3AC6" w:rsidRDefault="00D56C87" w:rsidP="00077326">
      <w:pPr>
        <w:rPr>
          <w:rFonts w:asciiTheme="majorBidi" w:hAnsiTheme="majorBidi" w:cstheme="majorBidi"/>
          <w:sz w:val="20"/>
          <w:szCs w:val="20"/>
        </w:rPr>
      </w:pPr>
    </w:p>
    <w:p w14:paraId="0D03CD02" w14:textId="31677BE3" w:rsidR="00077326" w:rsidRDefault="00993FCB" w:rsidP="00057F1B">
      <w:pPr>
        <w:rPr>
          <w:rFonts w:asciiTheme="majorBidi" w:hAnsiTheme="majorBidi" w:cstheme="majorBidi"/>
          <w:sz w:val="20"/>
          <w:szCs w:val="20"/>
        </w:rPr>
      </w:pPr>
      <w:r>
        <w:rPr>
          <w:rFonts w:asciiTheme="majorBidi" w:hAnsiTheme="majorBidi" w:cstheme="majorBidi"/>
          <w:sz w:val="20"/>
          <w:szCs w:val="20"/>
        </w:rPr>
        <w:t>**</w:t>
      </w:r>
      <w:r w:rsidR="00077326">
        <w:rPr>
          <w:rFonts w:asciiTheme="majorBidi" w:hAnsiTheme="majorBidi" w:cstheme="majorBidi"/>
          <w:sz w:val="20"/>
          <w:szCs w:val="20"/>
        </w:rPr>
        <w:t xml:space="preserve">Other required articles, videos, lectures, etc. on Blackboard </w:t>
      </w:r>
    </w:p>
    <w:p w14:paraId="6A0880DD" w14:textId="77777777" w:rsidR="00D56C87" w:rsidRPr="00057F1B" w:rsidRDefault="00D56C87" w:rsidP="00057F1B">
      <w:pPr>
        <w:rPr>
          <w:rFonts w:asciiTheme="majorBidi" w:hAnsiTheme="majorBidi" w:cstheme="majorBidi"/>
          <w:sz w:val="20"/>
          <w:szCs w:val="20"/>
        </w:rPr>
      </w:pPr>
    </w:p>
    <w:p w14:paraId="39507DAE" w14:textId="77777777" w:rsidR="00077326" w:rsidRPr="00EE3AC6" w:rsidRDefault="00077326" w:rsidP="00077326">
      <w:pPr>
        <w:rPr>
          <w:rFonts w:asciiTheme="majorBidi" w:hAnsiTheme="majorBidi" w:cstheme="majorBidi"/>
          <w:b/>
          <w:bCs/>
          <w:sz w:val="20"/>
          <w:szCs w:val="20"/>
          <w:u w:val="single"/>
        </w:rPr>
      </w:pPr>
      <w:r w:rsidRPr="00EE3AC6">
        <w:rPr>
          <w:rFonts w:asciiTheme="majorBidi" w:hAnsiTheme="majorBidi" w:cstheme="majorBidi"/>
          <w:b/>
          <w:bCs/>
          <w:sz w:val="20"/>
          <w:szCs w:val="20"/>
          <w:u w:val="single"/>
        </w:rPr>
        <w:t>Grading Scale</w:t>
      </w:r>
    </w:p>
    <w:p w14:paraId="5FF26050" w14:textId="77777777" w:rsidR="00077326" w:rsidRPr="00EE3AC6" w:rsidRDefault="00077326" w:rsidP="00077326">
      <w:pPr>
        <w:rPr>
          <w:rFonts w:asciiTheme="majorBidi" w:hAnsiTheme="majorBidi" w:cstheme="majorBidi"/>
          <w:sz w:val="20"/>
          <w:szCs w:val="20"/>
        </w:rPr>
      </w:pPr>
      <w:r w:rsidRPr="00EE3AC6">
        <w:rPr>
          <w:rFonts w:asciiTheme="majorBidi" w:hAnsiTheme="majorBidi" w:cstheme="majorBidi"/>
          <w:sz w:val="20"/>
          <w:szCs w:val="20"/>
        </w:rPr>
        <w:t>90-100 points</w:t>
      </w:r>
      <w:r w:rsidRPr="00EE3AC6">
        <w:rPr>
          <w:rFonts w:asciiTheme="majorBidi" w:hAnsiTheme="majorBidi" w:cstheme="majorBidi"/>
          <w:sz w:val="20"/>
          <w:szCs w:val="20"/>
        </w:rPr>
        <w:tab/>
      </w:r>
      <w:r w:rsidRPr="00EE3AC6">
        <w:rPr>
          <w:rFonts w:asciiTheme="majorBidi" w:hAnsiTheme="majorBidi" w:cstheme="majorBidi"/>
          <w:sz w:val="20"/>
          <w:szCs w:val="20"/>
        </w:rPr>
        <w:tab/>
        <w:t>= A</w:t>
      </w:r>
    </w:p>
    <w:p w14:paraId="7065D0AD" w14:textId="77777777" w:rsidR="00077326" w:rsidRPr="00EE3AC6" w:rsidRDefault="00077326" w:rsidP="00077326">
      <w:pPr>
        <w:rPr>
          <w:rFonts w:asciiTheme="majorBidi" w:hAnsiTheme="majorBidi" w:cstheme="majorBidi"/>
          <w:sz w:val="20"/>
          <w:szCs w:val="20"/>
          <w:lang w:val="fr-FR"/>
        </w:rPr>
      </w:pPr>
      <w:r w:rsidRPr="00EE3AC6">
        <w:rPr>
          <w:rFonts w:asciiTheme="majorBidi" w:hAnsiTheme="majorBidi" w:cstheme="majorBidi"/>
          <w:sz w:val="20"/>
          <w:szCs w:val="20"/>
          <w:lang w:val="fr-FR"/>
        </w:rPr>
        <w:t xml:space="preserve">80-89 points </w:t>
      </w:r>
      <w:r w:rsidRPr="00EE3AC6">
        <w:rPr>
          <w:rFonts w:asciiTheme="majorBidi" w:hAnsiTheme="majorBidi" w:cstheme="majorBidi"/>
          <w:sz w:val="20"/>
          <w:szCs w:val="20"/>
          <w:lang w:val="fr-FR"/>
        </w:rPr>
        <w:tab/>
      </w:r>
      <w:r w:rsidRPr="00EE3AC6">
        <w:rPr>
          <w:rFonts w:asciiTheme="majorBidi" w:hAnsiTheme="majorBidi" w:cstheme="majorBidi"/>
          <w:sz w:val="20"/>
          <w:szCs w:val="20"/>
          <w:lang w:val="fr-FR"/>
        </w:rPr>
        <w:tab/>
        <w:t>= B</w:t>
      </w:r>
    </w:p>
    <w:p w14:paraId="0D03611B" w14:textId="77777777" w:rsidR="00077326" w:rsidRPr="00EE3AC6" w:rsidRDefault="00077326" w:rsidP="00077326">
      <w:pPr>
        <w:rPr>
          <w:rFonts w:asciiTheme="majorBidi" w:hAnsiTheme="majorBidi" w:cstheme="majorBidi"/>
          <w:sz w:val="20"/>
          <w:szCs w:val="20"/>
          <w:lang w:val="fr-FR"/>
        </w:rPr>
      </w:pPr>
      <w:r w:rsidRPr="00EE3AC6">
        <w:rPr>
          <w:rFonts w:asciiTheme="majorBidi" w:hAnsiTheme="majorBidi" w:cstheme="majorBidi"/>
          <w:sz w:val="20"/>
          <w:szCs w:val="20"/>
          <w:lang w:val="fr-FR"/>
        </w:rPr>
        <w:t xml:space="preserve">70-79 points </w:t>
      </w:r>
      <w:r w:rsidRPr="00EE3AC6">
        <w:rPr>
          <w:rFonts w:asciiTheme="majorBidi" w:hAnsiTheme="majorBidi" w:cstheme="majorBidi"/>
          <w:sz w:val="20"/>
          <w:szCs w:val="20"/>
          <w:lang w:val="fr-FR"/>
        </w:rPr>
        <w:tab/>
      </w:r>
      <w:r w:rsidRPr="00EE3AC6">
        <w:rPr>
          <w:rFonts w:asciiTheme="majorBidi" w:hAnsiTheme="majorBidi" w:cstheme="majorBidi"/>
          <w:sz w:val="20"/>
          <w:szCs w:val="20"/>
          <w:lang w:val="fr-FR"/>
        </w:rPr>
        <w:tab/>
        <w:t>= C</w:t>
      </w:r>
    </w:p>
    <w:p w14:paraId="55B0FDC8" w14:textId="77777777" w:rsidR="00077326" w:rsidRPr="00EE3AC6" w:rsidRDefault="00077326" w:rsidP="00077326">
      <w:pPr>
        <w:rPr>
          <w:rFonts w:asciiTheme="majorBidi" w:hAnsiTheme="majorBidi" w:cstheme="majorBidi"/>
          <w:sz w:val="20"/>
          <w:szCs w:val="20"/>
          <w:lang w:val="fr-FR"/>
        </w:rPr>
      </w:pPr>
      <w:r w:rsidRPr="00EE3AC6">
        <w:rPr>
          <w:rFonts w:asciiTheme="majorBidi" w:hAnsiTheme="majorBidi" w:cstheme="majorBidi"/>
          <w:sz w:val="20"/>
          <w:szCs w:val="20"/>
          <w:lang w:val="fr-FR"/>
        </w:rPr>
        <w:t xml:space="preserve">60-69 points </w:t>
      </w:r>
      <w:r w:rsidRPr="00EE3AC6">
        <w:rPr>
          <w:rFonts w:asciiTheme="majorBidi" w:hAnsiTheme="majorBidi" w:cstheme="majorBidi"/>
          <w:sz w:val="20"/>
          <w:szCs w:val="20"/>
          <w:lang w:val="fr-FR"/>
        </w:rPr>
        <w:tab/>
      </w:r>
      <w:r w:rsidRPr="00EE3AC6">
        <w:rPr>
          <w:rFonts w:asciiTheme="majorBidi" w:hAnsiTheme="majorBidi" w:cstheme="majorBidi"/>
          <w:sz w:val="20"/>
          <w:szCs w:val="20"/>
          <w:lang w:val="fr-FR"/>
        </w:rPr>
        <w:tab/>
        <w:t>= D</w:t>
      </w:r>
    </w:p>
    <w:p w14:paraId="0204CB9C" w14:textId="77777777" w:rsidR="00077326" w:rsidRPr="00EE3AC6" w:rsidRDefault="00077326" w:rsidP="00077326">
      <w:pPr>
        <w:rPr>
          <w:rFonts w:asciiTheme="majorBidi" w:hAnsiTheme="majorBidi" w:cstheme="majorBidi"/>
          <w:sz w:val="20"/>
          <w:szCs w:val="20"/>
        </w:rPr>
      </w:pPr>
      <w:r w:rsidRPr="00EE3AC6">
        <w:rPr>
          <w:rFonts w:asciiTheme="majorBidi" w:hAnsiTheme="majorBidi" w:cstheme="majorBidi"/>
          <w:sz w:val="20"/>
          <w:szCs w:val="20"/>
        </w:rPr>
        <w:t xml:space="preserve">Below 60 points </w:t>
      </w:r>
      <w:r w:rsidRPr="00EE3AC6">
        <w:rPr>
          <w:rFonts w:asciiTheme="majorBidi" w:hAnsiTheme="majorBidi" w:cstheme="majorBidi"/>
          <w:sz w:val="20"/>
          <w:szCs w:val="20"/>
        </w:rPr>
        <w:tab/>
      </w:r>
      <w:r w:rsidRPr="00EE3AC6">
        <w:rPr>
          <w:rFonts w:asciiTheme="majorBidi" w:hAnsiTheme="majorBidi" w:cstheme="majorBidi"/>
          <w:sz w:val="20"/>
          <w:szCs w:val="20"/>
        </w:rPr>
        <w:tab/>
        <w:t>= F</w:t>
      </w:r>
    </w:p>
    <w:p w14:paraId="3E7F2474" w14:textId="77777777" w:rsidR="00DA4848" w:rsidRDefault="00DA4848"/>
    <w:p w14:paraId="2EA65C0B" w14:textId="3560FD26" w:rsidR="00DA4848" w:rsidRPr="00057F1B" w:rsidRDefault="00057F1B">
      <w:pPr>
        <w:rPr>
          <w:b/>
          <w:bCs/>
        </w:rPr>
      </w:pPr>
      <w:r>
        <w:rPr>
          <w:b/>
          <w:bCs/>
        </w:rPr>
        <w:t>Grade Distribution</w:t>
      </w:r>
      <w:r w:rsidR="00D62EAE" w:rsidRPr="00057F1B">
        <w:rPr>
          <w:b/>
          <w:bCs/>
        </w:rPr>
        <w:t xml:space="preserve">: </w:t>
      </w:r>
    </w:p>
    <w:tbl>
      <w:tblPr>
        <w:tblStyle w:val="TableGrid"/>
        <w:tblW w:w="0" w:type="auto"/>
        <w:tblLook w:val="04A0" w:firstRow="1" w:lastRow="0" w:firstColumn="1" w:lastColumn="0" w:noHBand="0" w:noVBand="1"/>
      </w:tblPr>
      <w:tblGrid>
        <w:gridCol w:w="5996"/>
        <w:gridCol w:w="1772"/>
        <w:gridCol w:w="1582"/>
      </w:tblGrid>
      <w:tr w:rsidR="00D56C87" w:rsidRPr="00EC4F1D" w14:paraId="2E6FB701" w14:textId="77777777" w:rsidTr="00E070FD">
        <w:tc>
          <w:tcPr>
            <w:tcW w:w="0" w:type="auto"/>
            <w:shd w:val="clear" w:color="auto" w:fill="D9D9D9" w:themeFill="background1" w:themeFillShade="D9"/>
          </w:tcPr>
          <w:p w14:paraId="1A13D0DB" w14:textId="77777777" w:rsidR="00BB14BC" w:rsidRPr="00EC4F1D" w:rsidRDefault="00BB14BC" w:rsidP="00E070FD">
            <w:pPr>
              <w:rPr>
                <w:sz w:val="20"/>
                <w:szCs w:val="20"/>
              </w:rPr>
            </w:pPr>
            <w:r w:rsidRPr="00EC4F1D">
              <w:rPr>
                <w:sz w:val="20"/>
                <w:szCs w:val="20"/>
              </w:rPr>
              <w:t xml:space="preserve">Assignment </w:t>
            </w:r>
          </w:p>
        </w:tc>
        <w:tc>
          <w:tcPr>
            <w:tcW w:w="0" w:type="auto"/>
            <w:shd w:val="clear" w:color="auto" w:fill="D9D9D9" w:themeFill="background1" w:themeFillShade="D9"/>
          </w:tcPr>
          <w:p w14:paraId="054033D5" w14:textId="77777777" w:rsidR="00BB14BC" w:rsidRPr="00EC4F1D" w:rsidRDefault="00BB14BC" w:rsidP="00E070FD">
            <w:pPr>
              <w:rPr>
                <w:sz w:val="20"/>
                <w:szCs w:val="20"/>
              </w:rPr>
            </w:pPr>
            <w:r w:rsidRPr="00EC4F1D">
              <w:rPr>
                <w:sz w:val="20"/>
                <w:szCs w:val="20"/>
              </w:rPr>
              <w:t>Points Possible</w:t>
            </w:r>
          </w:p>
        </w:tc>
        <w:tc>
          <w:tcPr>
            <w:tcW w:w="0" w:type="auto"/>
            <w:shd w:val="clear" w:color="auto" w:fill="D9D9D9" w:themeFill="background1" w:themeFillShade="D9"/>
          </w:tcPr>
          <w:p w14:paraId="0B1136CB" w14:textId="77777777" w:rsidR="00BB14BC" w:rsidRPr="00EC4F1D" w:rsidRDefault="00BB14BC" w:rsidP="00E070FD">
            <w:pPr>
              <w:rPr>
                <w:sz w:val="20"/>
                <w:szCs w:val="20"/>
              </w:rPr>
            </w:pPr>
            <w:r w:rsidRPr="00EC4F1D">
              <w:rPr>
                <w:sz w:val="20"/>
                <w:szCs w:val="20"/>
              </w:rPr>
              <w:t>% of Total Grade</w:t>
            </w:r>
          </w:p>
        </w:tc>
      </w:tr>
      <w:tr w:rsidR="00D56C87" w:rsidRPr="00EC4F1D" w14:paraId="065A4D8B" w14:textId="77777777" w:rsidTr="00BB14BC">
        <w:trPr>
          <w:trHeight w:val="521"/>
        </w:trPr>
        <w:tc>
          <w:tcPr>
            <w:tcW w:w="0" w:type="auto"/>
            <w:shd w:val="clear" w:color="auto" w:fill="B4C6E7" w:themeFill="accent1" w:themeFillTint="66"/>
          </w:tcPr>
          <w:p w14:paraId="0ECC701E" w14:textId="76C92FB1" w:rsidR="00BB14BC" w:rsidRPr="00EC4F1D" w:rsidRDefault="00D56C87" w:rsidP="00E070FD">
            <w:pPr>
              <w:rPr>
                <w:sz w:val="20"/>
                <w:szCs w:val="20"/>
              </w:rPr>
            </w:pPr>
            <w:r>
              <w:rPr>
                <w:sz w:val="20"/>
                <w:szCs w:val="20"/>
              </w:rPr>
              <w:t>Attendance/</w:t>
            </w:r>
            <w:r w:rsidR="007F0317">
              <w:rPr>
                <w:sz w:val="20"/>
                <w:szCs w:val="20"/>
              </w:rPr>
              <w:t>Participation</w:t>
            </w:r>
            <w:r>
              <w:rPr>
                <w:sz w:val="20"/>
                <w:szCs w:val="20"/>
              </w:rPr>
              <w:t xml:space="preserve"> (includes online discussions if/when they occur)</w:t>
            </w:r>
          </w:p>
        </w:tc>
        <w:tc>
          <w:tcPr>
            <w:tcW w:w="0" w:type="auto"/>
            <w:shd w:val="clear" w:color="auto" w:fill="B4C6E7" w:themeFill="accent1" w:themeFillTint="66"/>
          </w:tcPr>
          <w:p w14:paraId="1A6D74E3" w14:textId="75E5CB5A" w:rsidR="00BB14BC" w:rsidRPr="00EC4F1D" w:rsidRDefault="00D56C87" w:rsidP="00E070FD">
            <w:pPr>
              <w:rPr>
                <w:sz w:val="20"/>
                <w:szCs w:val="20"/>
              </w:rPr>
            </w:pPr>
            <w:r>
              <w:rPr>
                <w:sz w:val="20"/>
                <w:szCs w:val="20"/>
              </w:rPr>
              <w:t>2</w:t>
            </w:r>
            <w:r w:rsidR="004E30E6">
              <w:rPr>
                <w:sz w:val="20"/>
                <w:szCs w:val="20"/>
              </w:rPr>
              <w:t>00</w:t>
            </w:r>
          </w:p>
        </w:tc>
        <w:tc>
          <w:tcPr>
            <w:tcW w:w="0" w:type="auto"/>
            <w:shd w:val="clear" w:color="auto" w:fill="B4C6E7" w:themeFill="accent1" w:themeFillTint="66"/>
          </w:tcPr>
          <w:p w14:paraId="7429E59A" w14:textId="5D7EDF2F" w:rsidR="00BB14BC" w:rsidRPr="00EC4F1D" w:rsidRDefault="00D56C87" w:rsidP="00E070FD">
            <w:pPr>
              <w:rPr>
                <w:sz w:val="20"/>
                <w:szCs w:val="20"/>
              </w:rPr>
            </w:pPr>
            <w:r>
              <w:rPr>
                <w:sz w:val="20"/>
                <w:szCs w:val="20"/>
              </w:rPr>
              <w:t>20</w:t>
            </w:r>
          </w:p>
        </w:tc>
      </w:tr>
      <w:tr w:rsidR="00D56C87" w:rsidRPr="00EC4F1D" w14:paraId="1875E07B" w14:textId="77777777" w:rsidTr="00E070FD">
        <w:trPr>
          <w:trHeight w:val="539"/>
        </w:trPr>
        <w:tc>
          <w:tcPr>
            <w:tcW w:w="0" w:type="auto"/>
            <w:shd w:val="clear" w:color="auto" w:fill="FFE599" w:themeFill="accent4" w:themeFillTint="66"/>
          </w:tcPr>
          <w:p w14:paraId="790AFD29" w14:textId="5C9764A1" w:rsidR="00BB14BC" w:rsidRPr="00EC4F1D" w:rsidRDefault="001976F4" w:rsidP="00E070FD">
            <w:pPr>
              <w:rPr>
                <w:sz w:val="20"/>
                <w:szCs w:val="20"/>
              </w:rPr>
            </w:pPr>
            <w:r>
              <w:rPr>
                <w:sz w:val="20"/>
                <w:szCs w:val="20"/>
              </w:rPr>
              <w:t>Respons</w:t>
            </w:r>
            <w:r w:rsidR="007F0317">
              <w:rPr>
                <w:sz w:val="20"/>
                <w:szCs w:val="20"/>
              </w:rPr>
              <w:t>e Papers</w:t>
            </w:r>
          </w:p>
        </w:tc>
        <w:tc>
          <w:tcPr>
            <w:tcW w:w="0" w:type="auto"/>
            <w:shd w:val="clear" w:color="auto" w:fill="FFE599" w:themeFill="accent4" w:themeFillTint="66"/>
          </w:tcPr>
          <w:p w14:paraId="2F1287AE" w14:textId="346CDC5B" w:rsidR="00BB14BC" w:rsidRPr="00EC4F1D" w:rsidRDefault="002061E0" w:rsidP="00E070FD">
            <w:pPr>
              <w:rPr>
                <w:sz w:val="20"/>
                <w:szCs w:val="20"/>
              </w:rPr>
            </w:pPr>
            <w:r>
              <w:rPr>
                <w:sz w:val="20"/>
                <w:szCs w:val="20"/>
              </w:rPr>
              <w:t xml:space="preserve">300 (3 @ 100 </w:t>
            </w:r>
            <w:r w:rsidR="004E30E6">
              <w:rPr>
                <w:sz w:val="20"/>
                <w:szCs w:val="20"/>
              </w:rPr>
              <w:t>each)</w:t>
            </w:r>
          </w:p>
        </w:tc>
        <w:tc>
          <w:tcPr>
            <w:tcW w:w="0" w:type="auto"/>
            <w:shd w:val="clear" w:color="auto" w:fill="FFE599" w:themeFill="accent4" w:themeFillTint="66"/>
          </w:tcPr>
          <w:p w14:paraId="74EBE324" w14:textId="34238A31" w:rsidR="00BB14BC" w:rsidRPr="00EC4F1D" w:rsidRDefault="002061E0" w:rsidP="00E070FD">
            <w:pPr>
              <w:rPr>
                <w:sz w:val="20"/>
                <w:szCs w:val="20"/>
              </w:rPr>
            </w:pPr>
            <w:r>
              <w:rPr>
                <w:sz w:val="20"/>
                <w:szCs w:val="20"/>
              </w:rPr>
              <w:t>30</w:t>
            </w:r>
          </w:p>
        </w:tc>
      </w:tr>
      <w:tr w:rsidR="00D56C87" w:rsidRPr="00EC4F1D" w14:paraId="052FDED7" w14:textId="77777777" w:rsidTr="00E070FD">
        <w:trPr>
          <w:trHeight w:val="215"/>
        </w:trPr>
        <w:tc>
          <w:tcPr>
            <w:tcW w:w="0" w:type="auto"/>
            <w:shd w:val="clear" w:color="auto" w:fill="FFAFFF"/>
          </w:tcPr>
          <w:p w14:paraId="4D8A4100" w14:textId="71CF9EE9" w:rsidR="00BB14BC" w:rsidRPr="00EC4F1D" w:rsidRDefault="00462ECD" w:rsidP="00E070FD">
            <w:pPr>
              <w:rPr>
                <w:sz w:val="20"/>
                <w:szCs w:val="20"/>
              </w:rPr>
            </w:pPr>
            <w:r>
              <w:rPr>
                <w:sz w:val="20"/>
                <w:szCs w:val="20"/>
              </w:rPr>
              <w:t>Long</w:t>
            </w:r>
            <w:r w:rsidR="007F0317">
              <w:rPr>
                <w:sz w:val="20"/>
                <w:szCs w:val="20"/>
              </w:rPr>
              <w:t xml:space="preserve"> Papers </w:t>
            </w:r>
          </w:p>
        </w:tc>
        <w:tc>
          <w:tcPr>
            <w:tcW w:w="0" w:type="auto"/>
            <w:shd w:val="clear" w:color="auto" w:fill="FFAFFF"/>
          </w:tcPr>
          <w:p w14:paraId="4BEC73FE" w14:textId="7D55177D" w:rsidR="00BB14BC" w:rsidRPr="00EC4F1D" w:rsidRDefault="00D56C87" w:rsidP="00E070FD">
            <w:pPr>
              <w:rPr>
                <w:sz w:val="20"/>
                <w:szCs w:val="20"/>
              </w:rPr>
            </w:pPr>
            <w:r>
              <w:rPr>
                <w:sz w:val="20"/>
                <w:szCs w:val="20"/>
              </w:rPr>
              <w:t>5</w:t>
            </w:r>
            <w:r w:rsidR="00BB14BC" w:rsidRPr="00EC4F1D">
              <w:rPr>
                <w:sz w:val="20"/>
                <w:szCs w:val="20"/>
              </w:rPr>
              <w:t>00</w:t>
            </w:r>
            <w:r w:rsidR="004E30E6">
              <w:rPr>
                <w:sz w:val="20"/>
                <w:szCs w:val="20"/>
              </w:rPr>
              <w:t xml:space="preserve"> (2 @ 2</w:t>
            </w:r>
            <w:r>
              <w:rPr>
                <w:sz w:val="20"/>
                <w:szCs w:val="20"/>
              </w:rPr>
              <w:t xml:space="preserve">50 </w:t>
            </w:r>
            <w:r w:rsidR="004E30E6">
              <w:rPr>
                <w:sz w:val="20"/>
                <w:szCs w:val="20"/>
              </w:rPr>
              <w:t xml:space="preserve">each) </w:t>
            </w:r>
          </w:p>
        </w:tc>
        <w:tc>
          <w:tcPr>
            <w:tcW w:w="0" w:type="auto"/>
            <w:shd w:val="clear" w:color="auto" w:fill="FFAFFF"/>
          </w:tcPr>
          <w:p w14:paraId="492AACB1" w14:textId="10314006" w:rsidR="00BB14BC" w:rsidRPr="00EC4F1D" w:rsidRDefault="00D56C87" w:rsidP="00E070FD">
            <w:pPr>
              <w:rPr>
                <w:sz w:val="20"/>
                <w:szCs w:val="20"/>
              </w:rPr>
            </w:pPr>
            <w:r>
              <w:rPr>
                <w:sz w:val="20"/>
                <w:szCs w:val="20"/>
              </w:rPr>
              <w:t>5</w:t>
            </w:r>
            <w:r w:rsidR="004E30E6">
              <w:rPr>
                <w:sz w:val="20"/>
                <w:szCs w:val="20"/>
              </w:rPr>
              <w:t>0</w:t>
            </w:r>
          </w:p>
        </w:tc>
      </w:tr>
    </w:tbl>
    <w:p w14:paraId="192F51BE" w14:textId="77777777" w:rsidR="00D62EAE" w:rsidRDefault="00D62EAE"/>
    <w:p w14:paraId="06D25E22" w14:textId="743240A0" w:rsidR="002061E0" w:rsidRDefault="00057F1B">
      <w:r>
        <w:rPr>
          <w:b/>
          <w:bCs/>
        </w:rPr>
        <w:t>Honors Grade Distribution</w:t>
      </w:r>
      <w:r w:rsidR="002061E0">
        <w:t xml:space="preserve">: </w:t>
      </w:r>
    </w:p>
    <w:tbl>
      <w:tblPr>
        <w:tblStyle w:val="TableGrid"/>
        <w:tblW w:w="0" w:type="auto"/>
        <w:tblLook w:val="04A0" w:firstRow="1" w:lastRow="0" w:firstColumn="1" w:lastColumn="0" w:noHBand="0" w:noVBand="1"/>
      </w:tblPr>
      <w:tblGrid>
        <w:gridCol w:w="5996"/>
        <w:gridCol w:w="1772"/>
        <w:gridCol w:w="1582"/>
      </w:tblGrid>
      <w:tr w:rsidR="002061E0" w:rsidRPr="00EC4F1D" w14:paraId="363FA653" w14:textId="77777777" w:rsidTr="00E070FD">
        <w:tc>
          <w:tcPr>
            <w:tcW w:w="0" w:type="auto"/>
            <w:shd w:val="clear" w:color="auto" w:fill="D9D9D9" w:themeFill="background1" w:themeFillShade="D9"/>
          </w:tcPr>
          <w:p w14:paraId="5EADE256" w14:textId="77777777" w:rsidR="002061E0" w:rsidRPr="00EC4F1D" w:rsidRDefault="002061E0" w:rsidP="00E070FD">
            <w:pPr>
              <w:rPr>
                <w:sz w:val="20"/>
                <w:szCs w:val="20"/>
              </w:rPr>
            </w:pPr>
            <w:r w:rsidRPr="00EC4F1D">
              <w:rPr>
                <w:sz w:val="20"/>
                <w:szCs w:val="20"/>
              </w:rPr>
              <w:t xml:space="preserve">Assignment </w:t>
            </w:r>
          </w:p>
        </w:tc>
        <w:tc>
          <w:tcPr>
            <w:tcW w:w="0" w:type="auto"/>
            <w:shd w:val="clear" w:color="auto" w:fill="D9D9D9" w:themeFill="background1" w:themeFillShade="D9"/>
          </w:tcPr>
          <w:p w14:paraId="4FD0E83D" w14:textId="77777777" w:rsidR="002061E0" w:rsidRPr="00EC4F1D" w:rsidRDefault="002061E0" w:rsidP="00E070FD">
            <w:pPr>
              <w:rPr>
                <w:sz w:val="20"/>
                <w:szCs w:val="20"/>
              </w:rPr>
            </w:pPr>
            <w:r w:rsidRPr="00EC4F1D">
              <w:rPr>
                <w:sz w:val="20"/>
                <w:szCs w:val="20"/>
              </w:rPr>
              <w:t>Points Possible</w:t>
            </w:r>
          </w:p>
        </w:tc>
        <w:tc>
          <w:tcPr>
            <w:tcW w:w="0" w:type="auto"/>
            <w:shd w:val="clear" w:color="auto" w:fill="D9D9D9" w:themeFill="background1" w:themeFillShade="D9"/>
          </w:tcPr>
          <w:p w14:paraId="1C6A54B0" w14:textId="77777777" w:rsidR="002061E0" w:rsidRPr="00EC4F1D" w:rsidRDefault="002061E0" w:rsidP="00E070FD">
            <w:pPr>
              <w:rPr>
                <w:sz w:val="20"/>
                <w:szCs w:val="20"/>
              </w:rPr>
            </w:pPr>
            <w:r w:rsidRPr="00EC4F1D">
              <w:rPr>
                <w:sz w:val="20"/>
                <w:szCs w:val="20"/>
              </w:rPr>
              <w:t>% of Total Grade</w:t>
            </w:r>
          </w:p>
        </w:tc>
      </w:tr>
      <w:tr w:rsidR="002061E0" w:rsidRPr="00EC4F1D" w14:paraId="3971FCAB" w14:textId="77777777" w:rsidTr="00E070FD">
        <w:trPr>
          <w:trHeight w:val="521"/>
        </w:trPr>
        <w:tc>
          <w:tcPr>
            <w:tcW w:w="0" w:type="auto"/>
            <w:shd w:val="clear" w:color="auto" w:fill="B4C6E7" w:themeFill="accent1" w:themeFillTint="66"/>
          </w:tcPr>
          <w:p w14:paraId="42DC9572" w14:textId="6A0B5F04" w:rsidR="002061E0" w:rsidRPr="00EC4F1D" w:rsidRDefault="00D56C87" w:rsidP="00E070FD">
            <w:pPr>
              <w:rPr>
                <w:sz w:val="20"/>
                <w:szCs w:val="20"/>
              </w:rPr>
            </w:pPr>
            <w:r>
              <w:rPr>
                <w:sz w:val="20"/>
                <w:szCs w:val="20"/>
              </w:rPr>
              <w:t>Attendance/Participation (includes online discussions if/when they occur)</w:t>
            </w:r>
          </w:p>
        </w:tc>
        <w:tc>
          <w:tcPr>
            <w:tcW w:w="0" w:type="auto"/>
            <w:shd w:val="clear" w:color="auto" w:fill="B4C6E7" w:themeFill="accent1" w:themeFillTint="66"/>
          </w:tcPr>
          <w:p w14:paraId="235E0158" w14:textId="6CA37DBF" w:rsidR="002061E0" w:rsidRPr="00EC4F1D" w:rsidRDefault="00D56C87" w:rsidP="00E070FD">
            <w:pPr>
              <w:rPr>
                <w:sz w:val="20"/>
                <w:szCs w:val="20"/>
              </w:rPr>
            </w:pPr>
            <w:r>
              <w:rPr>
                <w:sz w:val="20"/>
                <w:szCs w:val="20"/>
              </w:rPr>
              <w:t>1</w:t>
            </w:r>
            <w:r w:rsidR="002061E0">
              <w:rPr>
                <w:sz w:val="20"/>
                <w:szCs w:val="20"/>
              </w:rPr>
              <w:t>00</w:t>
            </w:r>
          </w:p>
        </w:tc>
        <w:tc>
          <w:tcPr>
            <w:tcW w:w="0" w:type="auto"/>
            <w:shd w:val="clear" w:color="auto" w:fill="B4C6E7" w:themeFill="accent1" w:themeFillTint="66"/>
          </w:tcPr>
          <w:p w14:paraId="68665905" w14:textId="65AB46D4" w:rsidR="002061E0" w:rsidRPr="00EC4F1D" w:rsidRDefault="00D56C87" w:rsidP="00E070FD">
            <w:pPr>
              <w:rPr>
                <w:sz w:val="20"/>
                <w:szCs w:val="20"/>
              </w:rPr>
            </w:pPr>
            <w:r>
              <w:rPr>
                <w:sz w:val="20"/>
                <w:szCs w:val="20"/>
              </w:rPr>
              <w:t>1</w:t>
            </w:r>
            <w:r w:rsidR="002061E0">
              <w:rPr>
                <w:sz w:val="20"/>
                <w:szCs w:val="20"/>
              </w:rPr>
              <w:t>0</w:t>
            </w:r>
          </w:p>
        </w:tc>
      </w:tr>
      <w:tr w:rsidR="002061E0" w:rsidRPr="00EC4F1D" w14:paraId="56465F96" w14:textId="77777777" w:rsidTr="00E070FD">
        <w:trPr>
          <w:trHeight w:val="539"/>
        </w:trPr>
        <w:tc>
          <w:tcPr>
            <w:tcW w:w="0" w:type="auto"/>
            <w:shd w:val="clear" w:color="auto" w:fill="FFE599" w:themeFill="accent4" w:themeFillTint="66"/>
          </w:tcPr>
          <w:p w14:paraId="77FF05FC" w14:textId="77777777" w:rsidR="002061E0" w:rsidRPr="00EC4F1D" w:rsidRDefault="002061E0" w:rsidP="00E070FD">
            <w:pPr>
              <w:rPr>
                <w:sz w:val="20"/>
                <w:szCs w:val="20"/>
              </w:rPr>
            </w:pPr>
            <w:r>
              <w:rPr>
                <w:sz w:val="20"/>
                <w:szCs w:val="20"/>
              </w:rPr>
              <w:t>Response Papers</w:t>
            </w:r>
          </w:p>
        </w:tc>
        <w:tc>
          <w:tcPr>
            <w:tcW w:w="0" w:type="auto"/>
            <w:shd w:val="clear" w:color="auto" w:fill="FFE599" w:themeFill="accent4" w:themeFillTint="66"/>
          </w:tcPr>
          <w:p w14:paraId="0D957D4D" w14:textId="77777777" w:rsidR="002061E0" w:rsidRPr="00EC4F1D" w:rsidRDefault="002061E0" w:rsidP="00E070FD">
            <w:pPr>
              <w:rPr>
                <w:sz w:val="20"/>
                <w:szCs w:val="20"/>
              </w:rPr>
            </w:pPr>
            <w:r>
              <w:rPr>
                <w:sz w:val="20"/>
                <w:szCs w:val="20"/>
              </w:rPr>
              <w:t>300 (3 @ 100 each)</w:t>
            </w:r>
          </w:p>
        </w:tc>
        <w:tc>
          <w:tcPr>
            <w:tcW w:w="0" w:type="auto"/>
            <w:shd w:val="clear" w:color="auto" w:fill="FFE599" w:themeFill="accent4" w:themeFillTint="66"/>
          </w:tcPr>
          <w:p w14:paraId="3AF4A40D" w14:textId="77777777" w:rsidR="002061E0" w:rsidRPr="00EC4F1D" w:rsidRDefault="002061E0" w:rsidP="00E070FD">
            <w:pPr>
              <w:rPr>
                <w:sz w:val="20"/>
                <w:szCs w:val="20"/>
              </w:rPr>
            </w:pPr>
            <w:r>
              <w:rPr>
                <w:sz w:val="20"/>
                <w:szCs w:val="20"/>
              </w:rPr>
              <w:t>30</w:t>
            </w:r>
          </w:p>
        </w:tc>
      </w:tr>
      <w:tr w:rsidR="002061E0" w:rsidRPr="00EC4F1D" w14:paraId="20946E1F" w14:textId="77777777" w:rsidTr="00D56C87">
        <w:trPr>
          <w:trHeight w:val="287"/>
        </w:trPr>
        <w:tc>
          <w:tcPr>
            <w:tcW w:w="0" w:type="auto"/>
            <w:shd w:val="clear" w:color="auto" w:fill="92D050"/>
          </w:tcPr>
          <w:p w14:paraId="607BB6D0" w14:textId="6D3014C7" w:rsidR="002061E0" w:rsidRDefault="002061E0" w:rsidP="00E070FD">
            <w:pPr>
              <w:rPr>
                <w:sz w:val="20"/>
                <w:szCs w:val="20"/>
              </w:rPr>
            </w:pPr>
            <w:r>
              <w:rPr>
                <w:sz w:val="20"/>
                <w:szCs w:val="20"/>
              </w:rPr>
              <w:t xml:space="preserve">Presentation </w:t>
            </w:r>
            <w:r w:rsidR="00D56C87">
              <w:rPr>
                <w:sz w:val="20"/>
                <w:szCs w:val="20"/>
              </w:rPr>
              <w:t>on Supplemental Reading</w:t>
            </w:r>
          </w:p>
        </w:tc>
        <w:tc>
          <w:tcPr>
            <w:tcW w:w="0" w:type="auto"/>
            <w:shd w:val="clear" w:color="auto" w:fill="92D050"/>
          </w:tcPr>
          <w:p w14:paraId="0521414D" w14:textId="23E71D9F" w:rsidR="002061E0" w:rsidRDefault="001064F1" w:rsidP="00E070FD">
            <w:pPr>
              <w:rPr>
                <w:sz w:val="20"/>
                <w:szCs w:val="20"/>
              </w:rPr>
            </w:pPr>
            <w:r>
              <w:rPr>
                <w:sz w:val="20"/>
                <w:szCs w:val="20"/>
              </w:rPr>
              <w:t>100</w:t>
            </w:r>
          </w:p>
        </w:tc>
        <w:tc>
          <w:tcPr>
            <w:tcW w:w="0" w:type="auto"/>
            <w:shd w:val="clear" w:color="auto" w:fill="92D050"/>
          </w:tcPr>
          <w:p w14:paraId="67D2E47D" w14:textId="508BF29C" w:rsidR="002061E0" w:rsidRDefault="001064F1" w:rsidP="00E070FD">
            <w:pPr>
              <w:rPr>
                <w:sz w:val="20"/>
                <w:szCs w:val="20"/>
              </w:rPr>
            </w:pPr>
            <w:r>
              <w:rPr>
                <w:sz w:val="20"/>
                <w:szCs w:val="20"/>
              </w:rPr>
              <w:t>10</w:t>
            </w:r>
          </w:p>
        </w:tc>
      </w:tr>
      <w:tr w:rsidR="002061E0" w:rsidRPr="00EC4F1D" w14:paraId="571F53B0" w14:textId="77777777" w:rsidTr="00E070FD">
        <w:trPr>
          <w:trHeight w:val="215"/>
        </w:trPr>
        <w:tc>
          <w:tcPr>
            <w:tcW w:w="0" w:type="auto"/>
            <w:shd w:val="clear" w:color="auto" w:fill="FFAFFF"/>
          </w:tcPr>
          <w:p w14:paraId="701BB488" w14:textId="77777777" w:rsidR="002061E0" w:rsidRPr="00EC4F1D" w:rsidRDefault="002061E0" w:rsidP="00E070FD">
            <w:pPr>
              <w:rPr>
                <w:sz w:val="20"/>
                <w:szCs w:val="20"/>
              </w:rPr>
            </w:pPr>
            <w:r>
              <w:rPr>
                <w:sz w:val="20"/>
                <w:szCs w:val="20"/>
              </w:rPr>
              <w:t xml:space="preserve">Long Papers </w:t>
            </w:r>
          </w:p>
        </w:tc>
        <w:tc>
          <w:tcPr>
            <w:tcW w:w="0" w:type="auto"/>
            <w:shd w:val="clear" w:color="auto" w:fill="FFAFFF"/>
          </w:tcPr>
          <w:p w14:paraId="71E9B44C" w14:textId="2A4BA57A" w:rsidR="002061E0" w:rsidRPr="00EC4F1D" w:rsidRDefault="00D56C87" w:rsidP="00E070FD">
            <w:pPr>
              <w:rPr>
                <w:sz w:val="20"/>
                <w:szCs w:val="20"/>
              </w:rPr>
            </w:pPr>
            <w:r>
              <w:rPr>
                <w:sz w:val="20"/>
                <w:szCs w:val="20"/>
              </w:rPr>
              <w:t>5</w:t>
            </w:r>
            <w:r w:rsidR="002061E0" w:rsidRPr="00EC4F1D">
              <w:rPr>
                <w:sz w:val="20"/>
                <w:szCs w:val="20"/>
              </w:rPr>
              <w:t>00</w:t>
            </w:r>
            <w:r w:rsidR="001064F1">
              <w:rPr>
                <w:sz w:val="20"/>
                <w:szCs w:val="20"/>
              </w:rPr>
              <w:t xml:space="preserve"> (2 @ </w:t>
            </w:r>
            <w:r>
              <w:rPr>
                <w:sz w:val="20"/>
                <w:szCs w:val="20"/>
              </w:rPr>
              <w:t>250</w:t>
            </w:r>
            <w:r w:rsidR="002061E0">
              <w:rPr>
                <w:sz w:val="20"/>
                <w:szCs w:val="20"/>
              </w:rPr>
              <w:t xml:space="preserve"> each) </w:t>
            </w:r>
          </w:p>
        </w:tc>
        <w:tc>
          <w:tcPr>
            <w:tcW w:w="0" w:type="auto"/>
            <w:shd w:val="clear" w:color="auto" w:fill="FFAFFF"/>
          </w:tcPr>
          <w:p w14:paraId="2DB6C138" w14:textId="38629A17" w:rsidR="002061E0" w:rsidRPr="00EC4F1D" w:rsidRDefault="00D56C87" w:rsidP="00E070FD">
            <w:pPr>
              <w:rPr>
                <w:sz w:val="20"/>
                <w:szCs w:val="20"/>
              </w:rPr>
            </w:pPr>
            <w:r>
              <w:rPr>
                <w:sz w:val="20"/>
                <w:szCs w:val="20"/>
              </w:rPr>
              <w:t>5</w:t>
            </w:r>
            <w:r w:rsidR="001064F1">
              <w:rPr>
                <w:sz w:val="20"/>
                <w:szCs w:val="20"/>
              </w:rPr>
              <w:t>0</w:t>
            </w:r>
          </w:p>
        </w:tc>
      </w:tr>
    </w:tbl>
    <w:p w14:paraId="4F71E012" w14:textId="77777777" w:rsidR="002061E0" w:rsidRDefault="002061E0"/>
    <w:p w14:paraId="3F25ED09" w14:textId="77777777" w:rsidR="00DA4848" w:rsidRDefault="00DA4848"/>
    <w:tbl>
      <w:tblPr>
        <w:tblStyle w:val="TableGrid"/>
        <w:tblW w:w="0" w:type="auto"/>
        <w:tblLook w:val="04A0" w:firstRow="1" w:lastRow="0" w:firstColumn="1" w:lastColumn="0" w:noHBand="0" w:noVBand="1"/>
      </w:tblPr>
      <w:tblGrid>
        <w:gridCol w:w="9350"/>
      </w:tblGrid>
      <w:tr w:rsidR="00450F6B" w14:paraId="6E5C2630" w14:textId="77777777" w:rsidTr="00EE3BAB">
        <w:tc>
          <w:tcPr>
            <w:tcW w:w="9350" w:type="dxa"/>
            <w:shd w:val="clear" w:color="auto" w:fill="B4C6E7" w:themeFill="accent1" w:themeFillTint="66"/>
          </w:tcPr>
          <w:p w14:paraId="70CC8993" w14:textId="77777777" w:rsidR="00D56C87" w:rsidRDefault="00D56C87" w:rsidP="00126B5B">
            <w:pPr>
              <w:rPr>
                <w:b/>
                <w:bCs/>
              </w:rPr>
            </w:pPr>
            <w:r>
              <w:rPr>
                <w:b/>
                <w:bCs/>
              </w:rPr>
              <w:t>Attendance and Participation</w:t>
            </w:r>
          </w:p>
          <w:p w14:paraId="424F116C" w14:textId="4D5F4C69" w:rsidR="00126B5B" w:rsidRPr="00126B5B" w:rsidRDefault="00126B5B" w:rsidP="00126B5B">
            <w:r>
              <w:t xml:space="preserve">You should be present and participate in discussions during </w:t>
            </w:r>
            <w:r w:rsidR="00D56C87">
              <w:t xml:space="preserve">class time as often as possible. Doing so is a crucial aspect of absorbing the material and developing your critical analytic skills for writing the papers. As well, we will occasionally have online forums to further discuss topics time did not allow during class. </w:t>
            </w:r>
            <w:r>
              <w:t>One or two absences will not impact your grade, but I will be monitoring for excessive lack of participation.</w:t>
            </w:r>
            <w:r w:rsidR="00D56C87">
              <w:t xml:space="preserve"> Excused absences need to be discussed with me, but see below in the policies section for circumstances that automatically count as excused. </w:t>
            </w:r>
          </w:p>
        </w:tc>
      </w:tr>
    </w:tbl>
    <w:p w14:paraId="2D034059" w14:textId="77777777" w:rsidR="00DA4848" w:rsidRDefault="00DA4848"/>
    <w:p w14:paraId="086F183C" w14:textId="77777777" w:rsidR="00C06236" w:rsidRDefault="00C06236"/>
    <w:tbl>
      <w:tblPr>
        <w:tblStyle w:val="TableGrid"/>
        <w:tblW w:w="0" w:type="auto"/>
        <w:tblLook w:val="04A0" w:firstRow="1" w:lastRow="0" w:firstColumn="1" w:lastColumn="0" w:noHBand="0" w:noVBand="1"/>
      </w:tblPr>
      <w:tblGrid>
        <w:gridCol w:w="9350"/>
      </w:tblGrid>
      <w:tr w:rsidR="00C06236" w14:paraId="6E413388" w14:textId="77777777" w:rsidTr="00EE3BAB">
        <w:tc>
          <w:tcPr>
            <w:tcW w:w="9350" w:type="dxa"/>
            <w:shd w:val="clear" w:color="auto" w:fill="FFE599" w:themeFill="accent4" w:themeFillTint="66"/>
          </w:tcPr>
          <w:p w14:paraId="42233517" w14:textId="77777777" w:rsidR="00C06236" w:rsidRDefault="00C06236">
            <w:pPr>
              <w:rPr>
                <w:b/>
                <w:bCs/>
              </w:rPr>
            </w:pPr>
            <w:r w:rsidRPr="00032BDE">
              <w:rPr>
                <w:b/>
                <w:bCs/>
              </w:rPr>
              <w:t xml:space="preserve">Response Papers </w:t>
            </w:r>
          </w:p>
          <w:p w14:paraId="4A45AE6C" w14:textId="32812813" w:rsidR="00032BDE" w:rsidRPr="00FD7743" w:rsidRDefault="00FD7743" w:rsidP="00FD7743">
            <w:r>
              <w:t>Three short (2-3 pages) papers will be required throughout the semester (see schedule</w:t>
            </w:r>
            <w:r w:rsidR="00117007">
              <w:t xml:space="preserve"> – readings highlighted in this color are potential response paper readings</w:t>
            </w:r>
            <w:r>
              <w:t xml:space="preserve">). These papers are intended to gauge how well you are comprehending and analyzing the material. Each paper will be devoted to one specific reading we are covering and you will turn in the paper </w:t>
            </w:r>
            <w:r>
              <w:rPr>
                <w:i/>
                <w:iCs/>
              </w:rPr>
              <w:t xml:space="preserve">before </w:t>
            </w:r>
            <w:r>
              <w:t xml:space="preserve">we are scheduled to discuss that reading. This means that for three scheduled readings, you will be highly prepared for class discussion, </w:t>
            </w:r>
            <w:r>
              <w:lastRenderedPageBreak/>
              <w:t xml:space="preserve">and will have grappled with the material before I have helped clarify it. In turn, this will better prepare you for the longer papers. </w:t>
            </w:r>
          </w:p>
        </w:tc>
      </w:tr>
    </w:tbl>
    <w:p w14:paraId="290178A2" w14:textId="77777777" w:rsidR="00C06236" w:rsidRDefault="00C06236"/>
    <w:p w14:paraId="5662E17D" w14:textId="77777777" w:rsidR="00C06236" w:rsidRDefault="00C06236"/>
    <w:tbl>
      <w:tblPr>
        <w:tblStyle w:val="TableGrid"/>
        <w:tblW w:w="0" w:type="auto"/>
        <w:tblLook w:val="04A0" w:firstRow="1" w:lastRow="0" w:firstColumn="1" w:lastColumn="0" w:noHBand="0" w:noVBand="1"/>
      </w:tblPr>
      <w:tblGrid>
        <w:gridCol w:w="9350"/>
      </w:tblGrid>
      <w:tr w:rsidR="00C06236" w14:paraId="65071A60" w14:textId="77777777" w:rsidTr="00EE3BAB">
        <w:tc>
          <w:tcPr>
            <w:tcW w:w="9350" w:type="dxa"/>
            <w:shd w:val="clear" w:color="auto" w:fill="FF85FF"/>
          </w:tcPr>
          <w:p w14:paraId="3C3FDB64" w14:textId="77777777" w:rsidR="00C06236" w:rsidRDefault="00C06236">
            <w:pPr>
              <w:rPr>
                <w:b/>
                <w:bCs/>
              </w:rPr>
            </w:pPr>
            <w:r w:rsidRPr="00962500">
              <w:rPr>
                <w:b/>
                <w:bCs/>
              </w:rPr>
              <w:t xml:space="preserve">Long Papers </w:t>
            </w:r>
          </w:p>
          <w:p w14:paraId="74D330E1" w14:textId="1E731BC2" w:rsidR="00962500" w:rsidRPr="00962500" w:rsidRDefault="00962500">
            <w:r>
              <w:t xml:space="preserve">Two longer papers (6-8 pages) will be required. Topics will be announced at least 2 weeks prior to the due date. These papers will incorporate required readings from the course, as well as any supplemental readings (listed as “Further reading” on the schedule) that might be useful. Unlike the response papers, however, these longer papers will require you to develop and sustain an argument pertaining to some aspect of the course. </w:t>
            </w:r>
          </w:p>
        </w:tc>
      </w:tr>
    </w:tbl>
    <w:p w14:paraId="7E7B0E00" w14:textId="77777777" w:rsidR="00C06236" w:rsidRDefault="00C06236"/>
    <w:tbl>
      <w:tblPr>
        <w:tblStyle w:val="TableGrid"/>
        <w:tblW w:w="0" w:type="auto"/>
        <w:shd w:val="clear" w:color="auto" w:fill="92D050"/>
        <w:tblLook w:val="04A0" w:firstRow="1" w:lastRow="0" w:firstColumn="1" w:lastColumn="0" w:noHBand="0" w:noVBand="1"/>
      </w:tblPr>
      <w:tblGrid>
        <w:gridCol w:w="9350"/>
      </w:tblGrid>
      <w:tr w:rsidR="00C06236" w14:paraId="51BA609B" w14:textId="77777777" w:rsidTr="00D56C87">
        <w:tc>
          <w:tcPr>
            <w:tcW w:w="9350" w:type="dxa"/>
            <w:shd w:val="clear" w:color="auto" w:fill="92D050"/>
          </w:tcPr>
          <w:p w14:paraId="7C4BDB19" w14:textId="77777777" w:rsidR="00C06236" w:rsidRDefault="00126B5B">
            <w:pPr>
              <w:rPr>
                <w:b/>
                <w:bCs/>
              </w:rPr>
            </w:pPr>
            <w:r w:rsidRPr="00E4200E">
              <w:rPr>
                <w:b/>
                <w:bCs/>
              </w:rPr>
              <w:t xml:space="preserve">Presentation </w:t>
            </w:r>
          </w:p>
          <w:p w14:paraId="1F95D288" w14:textId="37C7F6BE" w:rsidR="00E4200E" w:rsidRPr="00E4200E" w:rsidRDefault="00E4200E" w:rsidP="00E4200E">
            <w:r>
              <w:t xml:space="preserve">For Honors students, the additional assignment for this course involves essentially completing an extra reading response paper, but it must be on one of the supplemental readings (listed on the schedule). Not only will you write a brief exegetical account of the reading, but you will present your work to the class during one of our scheduled synchronous class meetings. The presentation should be around 10-15 minutes, and should include opportunities for your classmates to participate in discussion. The idea here is that you will bring additional ideas or arguments for us to consider during one of our regularly scheduled classes, tying your supplemental reading into the rest of the readings we are discussing that week. </w:t>
            </w:r>
          </w:p>
        </w:tc>
      </w:tr>
    </w:tbl>
    <w:p w14:paraId="61BE3C24" w14:textId="77777777" w:rsidR="00C06236" w:rsidRDefault="00C06236"/>
    <w:p w14:paraId="6E1853C6" w14:textId="77777777" w:rsidR="00DA4848" w:rsidRPr="00EC4F1D" w:rsidRDefault="00DA4848" w:rsidP="00DA4848">
      <w:pPr>
        <w:rPr>
          <w:b/>
          <w:bCs/>
          <w:sz w:val="20"/>
          <w:szCs w:val="20"/>
          <w:u w:val="single"/>
        </w:rPr>
      </w:pPr>
    </w:p>
    <w:tbl>
      <w:tblPr>
        <w:tblStyle w:val="TableGrid"/>
        <w:tblW w:w="0" w:type="auto"/>
        <w:tblLook w:val="04A0" w:firstRow="1" w:lastRow="0" w:firstColumn="1" w:lastColumn="0" w:noHBand="0" w:noVBand="1"/>
      </w:tblPr>
      <w:tblGrid>
        <w:gridCol w:w="9350"/>
      </w:tblGrid>
      <w:tr w:rsidR="00DA4848" w:rsidRPr="00EC4F1D" w14:paraId="7B7DC29A" w14:textId="77777777" w:rsidTr="00E070FD">
        <w:tc>
          <w:tcPr>
            <w:tcW w:w="9350" w:type="dxa"/>
          </w:tcPr>
          <w:p w14:paraId="3652B7B6" w14:textId="6CC4F688" w:rsidR="00DA4848" w:rsidRPr="00EC4F1D" w:rsidRDefault="00DA4848" w:rsidP="00E070FD">
            <w:pPr>
              <w:rPr>
                <w:b/>
                <w:bCs/>
                <w:sz w:val="20"/>
                <w:szCs w:val="20"/>
              </w:rPr>
            </w:pPr>
            <w:r w:rsidRPr="00EC4F1D">
              <w:rPr>
                <w:b/>
                <w:bCs/>
                <w:sz w:val="20"/>
                <w:szCs w:val="20"/>
              </w:rPr>
              <w:t xml:space="preserve">Week 1 </w:t>
            </w:r>
            <w:r>
              <w:rPr>
                <w:b/>
                <w:bCs/>
                <w:sz w:val="20"/>
                <w:szCs w:val="20"/>
              </w:rPr>
              <w:t xml:space="preserve">– Introductions and Background </w:t>
            </w:r>
          </w:p>
          <w:p w14:paraId="1E5E806F" w14:textId="0CF193C2" w:rsidR="00DA4848" w:rsidRPr="00EC4F1D" w:rsidRDefault="00DA4848" w:rsidP="001B08C5">
            <w:pPr>
              <w:rPr>
                <w:sz w:val="20"/>
                <w:szCs w:val="20"/>
              </w:rPr>
            </w:pPr>
            <w:r w:rsidRPr="00EC4F1D">
              <w:rPr>
                <w:sz w:val="20"/>
                <w:szCs w:val="20"/>
              </w:rPr>
              <w:t>August</w:t>
            </w:r>
            <w:r w:rsidR="001B08C5">
              <w:rPr>
                <w:sz w:val="20"/>
                <w:szCs w:val="20"/>
              </w:rPr>
              <w:t xml:space="preserve"> 2</w:t>
            </w:r>
            <w:r w:rsidR="00300E90">
              <w:rPr>
                <w:sz w:val="20"/>
                <w:szCs w:val="20"/>
              </w:rPr>
              <w:t>3</w:t>
            </w:r>
            <w:r w:rsidR="001B08C5">
              <w:rPr>
                <w:sz w:val="20"/>
                <w:szCs w:val="20"/>
              </w:rPr>
              <w:t xml:space="preserve">: </w:t>
            </w:r>
            <w:r w:rsidR="00D56C87">
              <w:rPr>
                <w:sz w:val="20"/>
                <w:szCs w:val="20"/>
              </w:rPr>
              <w:t>I</w:t>
            </w:r>
            <w:r w:rsidR="001B08C5">
              <w:rPr>
                <w:sz w:val="20"/>
                <w:szCs w:val="20"/>
              </w:rPr>
              <w:t xml:space="preserve">ntroductions, syllabus overview, </w:t>
            </w:r>
            <w:r w:rsidR="00D56C87">
              <w:rPr>
                <w:sz w:val="20"/>
                <w:szCs w:val="20"/>
              </w:rPr>
              <w:t xml:space="preserve">brief historical overview </w:t>
            </w:r>
          </w:p>
          <w:p w14:paraId="2A71E875" w14:textId="77777777" w:rsidR="00DA4848" w:rsidRPr="00EC4F1D" w:rsidRDefault="00DA4848" w:rsidP="00E070FD">
            <w:pPr>
              <w:rPr>
                <w:sz w:val="20"/>
                <w:szCs w:val="20"/>
              </w:rPr>
            </w:pPr>
          </w:p>
          <w:p w14:paraId="6EEFAAF1" w14:textId="67A8FB5A" w:rsidR="00DA4848" w:rsidRPr="00EC4F1D" w:rsidRDefault="00DA4848" w:rsidP="001B08C5">
            <w:pPr>
              <w:rPr>
                <w:sz w:val="20"/>
                <w:szCs w:val="20"/>
              </w:rPr>
            </w:pPr>
            <w:r w:rsidRPr="00EC4F1D">
              <w:rPr>
                <w:sz w:val="20"/>
                <w:szCs w:val="20"/>
              </w:rPr>
              <w:t>August 2</w:t>
            </w:r>
            <w:r w:rsidR="00300E90">
              <w:rPr>
                <w:sz w:val="20"/>
                <w:szCs w:val="20"/>
              </w:rPr>
              <w:t>5</w:t>
            </w:r>
            <w:r w:rsidRPr="00EC4F1D">
              <w:rPr>
                <w:sz w:val="20"/>
                <w:szCs w:val="20"/>
              </w:rPr>
              <w:t xml:space="preserve">: </w:t>
            </w:r>
            <w:r w:rsidR="001B08C5" w:rsidRPr="00EE3AC6">
              <w:rPr>
                <w:sz w:val="20"/>
                <w:szCs w:val="20"/>
              </w:rPr>
              <w:t>Read Descartes’ “Meditations”</w:t>
            </w:r>
            <w:r w:rsidR="00D56C87">
              <w:rPr>
                <w:sz w:val="20"/>
                <w:szCs w:val="20"/>
              </w:rPr>
              <w:t xml:space="preserve"> and “Passions”</w:t>
            </w:r>
            <w:r w:rsidR="001B08C5">
              <w:rPr>
                <w:sz w:val="20"/>
                <w:szCs w:val="20"/>
              </w:rPr>
              <w:t xml:space="preserve"> (Chalmers, </w:t>
            </w:r>
            <w:r w:rsidR="00D56C87">
              <w:rPr>
                <w:sz w:val="20"/>
                <w:szCs w:val="20"/>
              </w:rPr>
              <w:t>9</w:t>
            </w:r>
            <w:r w:rsidR="001B08C5">
              <w:rPr>
                <w:sz w:val="20"/>
                <w:szCs w:val="20"/>
              </w:rPr>
              <w:t>-</w:t>
            </w:r>
            <w:r w:rsidR="00D56C87">
              <w:rPr>
                <w:sz w:val="20"/>
                <w:szCs w:val="20"/>
              </w:rPr>
              <w:t>22</w:t>
            </w:r>
            <w:r w:rsidR="001B08C5">
              <w:rPr>
                <w:sz w:val="20"/>
                <w:szCs w:val="20"/>
              </w:rPr>
              <w:t>)</w:t>
            </w:r>
          </w:p>
        </w:tc>
      </w:tr>
    </w:tbl>
    <w:p w14:paraId="229F933F" w14:textId="77777777" w:rsidR="00DA4848" w:rsidRPr="00EC4F1D" w:rsidRDefault="00DA4848" w:rsidP="00DA4848">
      <w:pPr>
        <w:rPr>
          <w:b/>
          <w:bCs/>
          <w:sz w:val="20"/>
          <w:szCs w:val="20"/>
          <w:u w:val="single"/>
        </w:rPr>
      </w:pPr>
    </w:p>
    <w:tbl>
      <w:tblPr>
        <w:tblStyle w:val="TableGrid"/>
        <w:tblW w:w="0" w:type="auto"/>
        <w:tblLook w:val="04A0" w:firstRow="1" w:lastRow="0" w:firstColumn="1" w:lastColumn="0" w:noHBand="0" w:noVBand="1"/>
      </w:tblPr>
      <w:tblGrid>
        <w:gridCol w:w="9350"/>
      </w:tblGrid>
      <w:tr w:rsidR="00DA4848" w:rsidRPr="00EC4F1D" w14:paraId="1D151332" w14:textId="77777777" w:rsidTr="00E070FD">
        <w:tc>
          <w:tcPr>
            <w:tcW w:w="9350" w:type="dxa"/>
          </w:tcPr>
          <w:p w14:paraId="5EE090C1" w14:textId="48E703EB" w:rsidR="00DA4848" w:rsidRPr="00EC4F1D" w:rsidRDefault="00DA4848" w:rsidP="00E070FD">
            <w:pPr>
              <w:rPr>
                <w:b/>
                <w:bCs/>
                <w:sz w:val="20"/>
                <w:szCs w:val="20"/>
              </w:rPr>
            </w:pPr>
            <w:r w:rsidRPr="00EC4F1D">
              <w:rPr>
                <w:b/>
                <w:bCs/>
                <w:sz w:val="20"/>
                <w:szCs w:val="20"/>
              </w:rPr>
              <w:t xml:space="preserve">Week 2 </w:t>
            </w:r>
            <w:r w:rsidR="001E3534">
              <w:rPr>
                <w:b/>
                <w:bCs/>
                <w:sz w:val="20"/>
                <w:szCs w:val="20"/>
              </w:rPr>
              <w:t xml:space="preserve">– </w:t>
            </w:r>
            <w:r w:rsidR="00D56C87">
              <w:rPr>
                <w:b/>
                <w:bCs/>
                <w:sz w:val="20"/>
                <w:szCs w:val="20"/>
              </w:rPr>
              <w:t xml:space="preserve">Dualism and its Detractors </w:t>
            </w:r>
          </w:p>
          <w:p w14:paraId="6E15E692" w14:textId="6C26B310" w:rsidR="00D56C87" w:rsidRDefault="00300E90" w:rsidP="00D56C87">
            <w:pPr>
              <w:rPr>
                <w:sz w:val="20"/>
                <w:szCs w:val="20"/>
              </w:rPr>
            </w:pPr>
            <w:r>
              <w:rPr>
                <w:sz w:val="20"/>
                <w:szCs w:val="20"/>
              </w:rPr>
              <w:t>August 30</w:t>
            </w:r>
            <w:r w:rsidR="00D56C87">
              <w:rPr>
                <w:sz w:val="20"/>
                <w:szCs w:val="20"/>
              </w:rPr>
              <w:t>:</w:t>
            </w:r>
            <w:r w:rsidR="00DA4848" w:rsidRPr="00EC4F1D">
              <w:rPr>
                <w:sz w:val="20"/>
                <w:szCs w:val="20"/>
              </w:rPr>
              <w:t xml:space="preserve"> </w:t>
            </w:r>
            <w:r w:rsidR="001B08C5" w:rsidRPr="00EE3AC6">
              <w:rPr>
                <w:sz w:val="20"/>
                <w:szCs w:val="20"/>
              </w:rPr>
              <w:t>Read</w:t>
            </w:r>
            <w:r w:rsidR="00D56C87">
              <w:rPr>
                <w:sz w:val="20"/>
                <w:szCs w:val="20"/>
              </w:rPr>
              <w:t xml:space="preserve"> </w:t>
            </w:r>
            <w:proofErr w:type="spellStart"/>
            <w:r w:rsidR="00D56C87">
              <w:rPr>
                <w:sz w:val="20"/>
                <w:szCs w:val="20"/>
              </w:rPr>
              <w:t>Gyekye</w:t>
            </w:r>
            <w:proofErr w:type="spellEnd"/>
            <w:r w:rsidR="00D56C87">
              <w:rPr>
                <w:sz w:val="20"/>
                <w:szCs w:val="20"/>
              </w:rPr>
              <w:t xml:space="preserve"> (Chalmers, 30-35) and </w:t>
            </w:r>
            <w:proofErr w:type="spellStart"/>
            <w:r w:rsidR="00D56C87">
              <w:rPr>
                <w:sz w:val="20"/>
                <w:szCs w:val="20"/>
              </w:rPr>
              <w:t>Smullyan</w:t>
            </w:r>
            <w:proofErr w:type="spellEnd"/>
            <w:r w:rsidR="00D56C87">
              <w:rPr>
                <w:sz w:val="20"/>
                <w:szCs w:val="20"/>
              </w:rPr>
              <w:t xml:space="preserve"> (Chalmers, 45)</w:t>
            </w:r>
          </w:p>
          <w:p w14:paraId="548CB8DC" w14:textId="77777777" w:rsidR="00D56C87" w:rsidRDefault="00D56C87" w:rsidP="00D56C87">
            <w:pPr>
              <w:rPr>
                <w:sz w:val="20"/>
                <w:szCs w:val="20"/>
              </w:rPr>
            </w:pPr>
          </w:p>
          <w:p w14:paraId="46D8F6A2" w14:textId="2071AAFA" w:rsidR="00DA4848" w:rsidRDefault="00300E90" w:rsidP="00D56C87">
            <w:pPr>
              <w:rPr>
                <w:sz w:val="20"/>
                <w:szCs w:val="20"/>
              </w:rPr>
            </w:pPr>
            <w:r>
              <w:rPr>
                <w:sz w:val="20"/>
                <w:szCs w:val="20"/>
              </w:rPr>
              <w:t>September 1</w:t>
            </w:r>
            <w:r w:rsidR="00DA4848" w:rsidRPr="00EC4F1D">
              <w:rPr>
                <w:sz w:val="20"/>
                <w:szCs w:val="20"/>
              </w:rPr>
              <w:t xml:space="preserve">: </w:t>
            </w:r>
            <w:r w:rsidR="00D56C87" w:rsidRPr="00D56C87">
              <w:rPr>
                <w:sz w:val="20"/>
                <w:szCs w:val="20"/>
                <w:highlight w:val="yellow"/>
              </w:rPr>
              <w:t>Read Ryle (Chalmers, 46-52)</w:t>
            </w:r>
          </w:p>
          <w:p w14:paraId="51752851" w14:textId="77777777" w:rsidR="00D56C87" w:rsidRDefault="00D56C87" w:rsidP="00D56C87">
            <w:pPr>
              <w:rPr>
                <w:sz w:val="20"/>
                <w:szCs w:val="20"/>
              </w:rPr>
            </w:pPr>
          </w:p>
          <w:p w14:paraId="448E2B04" w14:textId="410549EF" w:rsidR="00D56C87" w:rsidRPr="00EC4F1D" w:rsidRDefault="00D56C87" w:rsidP="00D56C87">
            <w:pPr>
              <w:rPr>
                <w:sz w:val="20"/>
                <w:szCs w:val="20"/>
              </w:rPr>
            </w:pPr>
            <w:r>
              <w:rPr>
                <w:sz w:val="20"/>
                <w:szCs w:val="20"/>
              </w:rPr>
              <w:t>**Supplemental Reading: In Chalmers, Correspondence with Elizabeth, Avicenna, Huxley; Skinner, “Baby in a Box” (Blackboard)</w:t>
            </w:r>
          </w:p>
        </w:tc>
      </w:tr>
    </w:tbl>
    <w:p w14:paraId="4C8E175E" w14:textId="77777777" w:rsidR="00DA4848" w:rsidRPr="00EC4F1D" w:rsidRDefault="00DA4848" w:rsidP="00DA4848">
      <w:pPr>
        <w:rPr>
          <w:sz w:val="20"/>
          <w:szCs w:val="20"/>
        </w:rPr>
      </w:pPr>
      <w:r w:rsidRPr="00EC4F1D">
        <w:rPr>
          <w:sz w:val="20"/>
          <w:szCs w:val="20"/>
        </w:rPr>
        <w:t xml:space="preserve"> </w:t>
      </w:r>
    </w:p>
    <w:tbl>
      <w:tblPr>
        <w:tblStyle w:val="TableGrid"/>
        <w:tblW w:w="0" w:type="auto"/>
        <w:tblLook w:val="04A0" w:firstRow="1" w:lastRow="0" w:firstColumn="1" w:lastColumn="0" w:noHBand="0" w:noVBand="1"/>
      </w:tblPr>
      <w:tblGrid>
        <w:gridCol w:w="9350"/>
      </w:tblGrid>
      <w:tr w:rsidR="00DA4848" w:rsidRPr="00EC4F1D" w14:paraId="2F213BB9" w14:textId="77777777" w:rsidTr="00E070FD">
        <w:tc>
          <w:tcPr>
            <w:tcW w:w="9350" w:type="dxa"/>
          </w:tcPr>
          <w:p w14:paraId="02233F74" w14:textId="5FFECC11" w:rsidR="00DA4848" w:rsidRPr="00EC4F1D" w:rsidRDefault="00DA4848" w:rsidP="00E070FD">
            <w:pPr>
              <w:rPr>
                <w:b/>
                <w:bCs/>
                <w:sz w:val="20"/>
                <w:szCs w:val="20"/>
              </w:rPr>
            </w:pPr>
            <w:r w:rsidRPr="00EC4F1D">
              <w:rPr>
                <w:b/>
                <w:bCs/>
                <w:sz w:val="20"/>
                <w:szCs w:val="20"/>
              </w:rPr>
              <w:t xml:space="preserve">Week 3 </w:t>
            </w:r>
            <w:r w:rsidR="001E3534">
              <w:rPr>
                <w:b/>
                <w:bCs/>
                <w:sz w:val="20"/>
                <w:szCs w:val="20"/>
              </w:rPr>
              <w:t xml:space="preserve">– </w:t>
            </w:r>
            <w:r w:rsidR="00D56C87">
              <w:rPr>
                <w:b/>
                <w:bCs/>
                <w:sz w:val="20"/>
                <w:szCs w:val="20"/>
              </w:rPr>
              <w:t xml:space="preserve">Physicalism, Functionalism and other Relationships </w:t>
            </w:r>
          </w:p>
          <w:p w14:paraId="1D45F180" w14:textId="4795F85D" w:rsidR="00DA4848" w:rsidRPr="00EC4F1D" w:rsidRDefault="00DA4848" w:rsidP="00D56C87">
            <w:pPr>
              <w:rPr>
                <w:sz w:val="20"/>
                <w:szCs w:val="20"/>
              </w:rPr>
            </w:pPr>
            <w:r w:rsidRPr="00EC4F1D">
              <w:rPr>
                <w:sz w:val="20"/>
                <w:szCs w:val="20"/>
              </w:rPr>
              <w:t xml:space="preserve">September </w:t>
            </w:r>
            <w:r w:rsidR="00300E90">
              <w:rPr>
                <w:sz w:val="20"/>
                <w:szCs w:val="20"/>
              </w:rPr>
              <w:t>6</w:t>
            </w:r>
            <w:r w:rsidRPr="00EC4F1D">
              <w:rPr>
                <w:sz w:val="20"/>
                <w:szCs w:val="20"/>
              </w:rPr>
              <w:t xml:space="preserve">: </w:t>
            </w:r>
            <w:r w:rsidR="00D56C87">
              <w:rPr>
                <w:sz w:val="20"/>
                <w:szCs w:val="20"/>
              </w:rPr>
              <w:t>Read Smart (Chalmers, 71-78)</w:t>
            </w:r>
          </w:p>
          <w:p w14:paraId="1F4E835C" w14:textId="77777777" w:rsidR="00DA4848" w:rsidRPr="00EC4F1D" w:rsidRDefault="00DA4848" w:rsidP="00E070FD">
            <w:pPr>
              <w:rPr>
                <w:sz w:val="20"/>
                <w:szCs w:val="20"/>
              </w:rPr>
            </w:pPr>
          </w:p>
          <w:p w14:paraId="0FA7BC17" w14:textId="77777777" w:rsidR="00D56C87" w:rsidRDefault="00DA4848" w:rsidP="00D56C87">
            <w:pPr>
              <w:rPr>
                <w:sz w:val="20"/>
                <w:szCs w:val="20"/>
              </w:rPr>
            </w:pPr>
            <w:r w:rsidRPr="00EC4F1D">
              <w:rPr>
                <w:sz w:val="20"/>
                <w:szCs w:val="20"/>
              </w:rPr>
              <w:t xml:space="preserve">September </w:t>
            </w:r>
            <w:r w:rsidR="00300E90">
              <w:rPr>
                <w:sz w:val="20"/>
                <w:szCs w:val="20"/>
              </w:rPr>
              <w:t>8</w:t>
            </w:r>
            <w:r w:rsidRPr="00EC4F1D">
              <w:rPr>
                <w:sz w:val="20"/>
                <w:szCs w:val="20"/>
              </w:rPr>
              <w:t xml:space="preserve">: </w:t>
            </w:r>
            <w:r w:rsidR="00D56C87" w:rsidRPr="00D56C87">
              <w:rPr>
                <w:sz w:val="20"/>
                <w:szCs w:val="20"/>
                <w:highlight w:val="yellow"/>
              </w:rPr>
              <w:t>Read Block (Chalmers 99-102)</w:t>
            </w:r>
          </w:p>
          <w:p w14:paraId="3C540F8A" w14:textId="77777777" w:rsidR="00D56C87" w:rsidRDefault="00D56C87" w:rsidP="00D56C87">
            <w:pPr>
              <w:rPr>
                <w:sz w:val="20"/>
                <w:szCs w:val="20"/>
              </w:rPr>
            </w:pPr>
          </w:p>
          <w:p w14:paraId="22123252" w14:textId="2A41CB26" w:rsidR="00A94D5C" w:rsidRPr="00EC4F1D" w:rsidRDefault="00D56C87" w:rsidP="00D56C87">
            <w:pPr>
              <w:rPr>
                <w:sz w:val="20"/>
                <w:szCs w:val="20"/>
              </w:rPr>
            </w:pPr>
            <w:r>
              <w:rPr>
                <w:sz w:val="20"/>
                <w:szCs w:val="20"/>
              </w:rPr>
              <w:t>**Supplemental Reading: Armstrong (Chalmers 86-92); Antony, “The Mental and the Physical” (Blackboard)</w:t>
            </w:r>
          </w:p>
        </w:tc>
      </w:tr>
    </w:tbl>
    <w:p w14:paraId="28FCEA12" w14:textId="77777777" w:rsidR="00DA4848" w:rsidRPr="00EC4F1D" w:rsidRDefault="00DA4848" w:rsidP="00DA4848">
      <w:pPr>
        <w:rPr>
          <w:sz w:val="20"/>
          <w:szCs w:val="20"/>
        </w:rPr>
      </w:pPr>
    </w:p>
    <w:tbl>
      <w:tblPr>
        <w:tblStyle w:val="TableGrid"/>
        <w:tblW w:w="0" w:type="auto"/>
        <w:tblLook w:val="04A0" w:firstRow="1" w:lastRow="0" w:firstColumn="1" w:lastColumn="0" w:noHBand="0" w:noVBand="1"/>
      </w:tblPr>
      <w:tblGrid>
        <w:gridCol w:w="9350"/>
      </w:tblGrid>
      <w:tr w:rsidR="00DA4848" w:rsidRPr="00EC4F1D" w14:paraId="57015A63" w14:textId="77777777" w:rsidTr="00E070FD">
        <w:tc>
          <w:tcPr>
            <w:tcW w:w="9350" w:type="dxa"/>
          </w:tcPr>
          <w:p w14:paraId="09AC816B" w14:textId="146C1C2E" w:rsidR="00DA4848" w:rsidRPr="00EC4F1D" w:rsidRDefault="00DA4848" w:rsidP="00D56C87">
            <w:pPr>
              <w:rPr>
                <w:b/>
                <w:bCs/>
                <w:sz w:val="20"/>
                <w:szCs w:val="20"/>
              </w:rPr>
            </w:pPr>
            <w:r w:rsidRPr="00EC4F1D">
              <w:rPr>
                <w:b/>
                <w:bCs/>
                <w:sz w:val="20"/>
                <w:szCs w:val="20"/>
              </w:rPr>
              <w:t>Week 4</w:t>
            </w:r>
            <w:r w:rsidR="001E3534">
              <w:rPr>
                <w:b/>
                <w:bCs/>
                <w:sz w:val="20"/>
                <w:szCs w:val="20"/>
              </w:rPr>
              <w:t xml:space="preserve"> – </w:t>
            </w:r>
            <w:r w:rsidR="00D56C87">
              <w:rPr>
                <w:b/>
                <w:bCs/>
                <w:sz w:val="20"/>
                <w:szCs w:val="20"/>
              </w:rPr>
              <w:t xml:space="preserve">Physicalism, Functionalism and other Relationships, cont’d </w:t>
            </w:r>
          </w:p>
          <w:p w14:paraId="39EDA749" w14:textId="63ACBC17" w:rsidR="00DA4848" w:rsidRPr="00EC4F1D" w:rsidRDefault="00DA4848" w:rsidP="00DA4848">
            <w:pPr>
              <w:rPr>
                <w:b/>
                <w:bCs/>
                <w:sz w:val="20"/>
                <w:szCs w:val="20"/>
              </w:rPr>
            </w:pPr>
            <w:r w:rsidRPr="00EC4F1D">
              <w:rPr>
                <w:sz w:val="20"/>
                <w:szCs w:val="20"/>
              </w:rPr>
              <w:t>September 1</w:t>
            </w:r>
            <w:r w:rsidR="00300E90">
              <w:rPr>
                <w:sz w:val="20"/>
                <w:szCs w:val="20"/>
              </w:rPr>
              <w:t>3</w:t>
            </w:r>
            <w:r w:rsidRPr="00EC4F1D">
              <w:rPr>
                <w:sz w:val="20"/>
                <w:szCs w:val="20"/>
              </w:rPr>
              <w:t xml:space="preserve">: </w:t>
            </w:r>
            <w:r w:rsidR="00D56C87">
              <w:rPr>
                <w:sz w:val="20"/>
                <w:szCs w:val="20"/>
              </w:rPr>
              <w:t>Read Ganeri (Chalmers, 146-57)</w:t>
            </w:r>
          </w:p>
          <w:p w14:paraId="6D3764F2" w14:textId="77777777" w:rsidR="00DA4848" w:rsidRPr="00EC4F1D" w:rsidRDefault="00DA4848" w:rsidP="00E070FD">
            <w:pPr>
              <w:rPr>
                <w:sz w:val="20"/>
                <w:szCs w:val="20"/>
              </w:rPr>
            </w:pPr>
          </w:p>
          <w:p w14:paraId="0128986C" w14:textId="74B8B27E" w:rsidR="00DA4848" w:rsidRPr="00EC4F1D" w:rsidRDefault="00DA4848" w:rsidP="004403D2">
            <w:pPr>
              <w:rPr>
                <w:b/>
                <w:bCs/>
                <w:sz w:val="20"/>
                <w:szCs w:val="20"/>
              </w:rPr>
            </w:pPr>
            <w:r w:rsidRPr="00EC4F1D">
              <w:rPr>
                <w:sz w:val="20"/>
                <w:szCs w:val="20"/>
              </w:rPr>
              <w:t>September 1</w:t>
            </w:r>
            <w:r w:rsidR="00300E90">
              <w:rPr>
                <w:sz w:val="20"/>
                <w:szCs w:val="20"/>
              </w:rPr>
              <w:t>5</w:t>
            </w:r>
            <w:r w:rsidR="00B02031">
              <w:rPr>
                <w:sz w:val="20"/>
                <w:szCs w:val="20"/>
              </w:rPr>
              <w:t xml:space="preserve">: </w:t>
            </w:r>
            <w:r w:rsidR="00D56C87" w:rsidRPr="00D56C87">
              <w:rPr>
                <w:sz w:val="20"/>
                <w:szCs w:val="20"/>
                <w:highlight w:val="yellow"/>
              </w:rPr>
              <w:t>Read Montero (Chalmers, 158-172)</w:t>
            </w:r>
          </w:p>
          <w:p w14:paraId="0480A9DE" w14:textId="55BB5AE7" w:rsidR="00DA4848" w:rsidRPr="00A94D5C" w:rsidRDefault="00A94D5C" w:rsidP="00197C2C">
            <w:pPr>
              <w:rPr>
                <w:sz w:val="20"/>
                <w:szCs w:val="20"/>
              </w:rPr>
            </w:pPr>
            <w:r>
              <w:rPr>
                <w:sz w:val="20"/>
                <w:szCs w:val="20"/>
              </w:rPr>
              <w:t xml:space="preserve">** </w:t>
            </w:r>
            <w:r w:rsidR="00D56C87">
              <w:rPr>
                <w:sz w:val="20"/>
                <w:szCs w:val="20"/>
              </w:rPr>
              <w:t>Supplemental Readin</w:t>
            </w:r>
            <w:r>
              <w:rPr>
                <w:sz w:val="20"/>
                <w:szCs w:val="20"/>
              </w:rPr>
              <w:t xml:space="preserve">g: </w:t>
            </w:r>
            <w:r w:rsidR="00D56C87">
              <w:rPr>
                <w:sz w:val="20"/>
                <w:szCs w:val="20"/>
              </w:rPr>
              <w:t xml:space="preserve">Kim (Chalmers); </w:t>
            </w:r>
            <w:r w:rsidR="005E1AE7" w:rsidRPr="005E1AE7">
              <w:rPr>
                <w:sz w:val="20"/>
                <w:szCs w:val="20"/>
              </w:rPr>
              <w:t>Churchland</w:t>
            </w:r>
            <w:r w:rsidR="00D56C87">
              <w:rPr>
                <w:sz w:val="20"/>
                <w:szCs w:val="20"/>
              </w:rPr>
              <w:t xml:space="preserve"> (Blackboard) </w:t>
            </w:r>
          </w:p>
        </w:tc>
      </w:tr>
    </w:tbl>
    <w:p w14:paraId="69F57B04" w14:textId="77777777" w:rsidR="00DA4848" w:rsidRPr="00EC4F1D" w:rsidRDefault="00DA4848" w:rsidP="00DA4848">
      <w:pPr>
        <w:rPr>
          <w:sz w:val="20"/>
          <w:szCs w:val="20"/>
        </w:rPr>
      </w:pPr>
    </w:p>
    <w:tbl>
      <w:tblPr>
        <w:tblStyle w:val="TableGrid"/>
        <w:tblW w:w="0" w:type="auto"/>
        <w:tblLook w:val="04A0" w:firstRow="1" w:lastRow="0" w:firstColumn="1" w:lastColumn="0" w:noHBand="0" w:noVBand="1"/>
      </w:tblPr>
      <w:tblGrid>
        <w:gridCol w:w="9350"/>
      </w:tblGrid>
      <w:tr w:rsidR="00DA4848" w:rsidRPr="00D56C87" w14:paraId="55D031DA" w14:textId="77777777" w:rsidTr="00E070FD">
        <w:tc>
          <w:tcPr>
            <w:tcW w:w="9350" w:type="dxa"/>
          </w:tcPr>
          <w:p w14:paraId="097D31F5" w14:textId="39EA44EC" w:rsidR="00DA4848" w:rsidRPr="00EC4F1D" w:rsidRDefault="00DA4848" w:rsidP="00E070FD">
            <w:pPr>
              <w:rPr>
                <w:b/>
                <w:bCs/>
                <w:sz w:val="20"/>
                <w:szCs w:val="20"/>
              </w:rPr>
            </w:pPr>
            <w:r w:rsidRPr="00EC4F1D">
              <w:rPr>
                <w:b/>
                <w:bCs/>
                <w:sz w:val="20"/>
                <w:szCs w:val="20"/>
              </w:rPr>
              <w:t xml:space="preserve">Week 5 </w:t>
            </w:r>
            <w:r w:rsidR="001E3534">
              <w:rPr>
                <w:b/>
                <w:bCs/>
                <w:sz w:val="20"/>
                <w:szCs w:val="20"/>
              </w:rPr>
              <w:t xml:space="preserve">– </w:t>
            </w:r>
            <w:r w:rsidR="00D56C87">
              <w:rPr>
                <w:b/>
                <w:bCs/>
                <w:sz w:val="20"/>
                <w:szCs w:val="20"/>
              </w:rPr>
              <w:t xml:space="preserve">Consciousness </w:t>
            </w:r>
          </w:p>
          <w:p w14:paraId="61D880B9" w14:textId="0EB134A5" w:rsidR="00F37918" w:rsidRDefault="00DA4848" w:rsidP="00D56C87">
            <w:pPr>
              <w:rPr>
                <w:sz w:val="20"/>
                <w:szCs w:val="20"/>
              </w:rPr>
            </w:pPr>
            <w:r w:rsidRPr="00EC4F1D">
              <w:rPr>
                <w:sz w:val="20"/>
                <w:szCs w:val="20"/>
              </w:rPr>
              <w:t>September 2</w:t>
            </w:r>
            <w:r w:rsidR="00300E90">
              <w:rPr>
                <w:sz w:val="20"/>
                <w:szCs w:val="20"/>
              </w:rPr>
              <w:t>0</w:t>
            </w:r>
            <w:r w:rsidRPr="00EC4F1D">
              <w:rPr>
                <w:sz w:val="20"/>
                <w:szCs w:val="20"/>
              </w:rPr>
              <w:t xml:space="preserve">: </w:t>
            </w:r>
            <w:r w:rsidR="00A94D5C" w:rsidRPr="00EE3AC6">
              <w:rPr>
                <w:sz w:val="20"/>
                <w:szCs w:val="20"/>
              </w:rPr>
              <w:t>Rea</w:t>
            </w:r>
            <w:r w:rsidR="00D56C87">
              <w:rPr>
                <w:sz w:val="20"/>
                <w:szCs w:val="20"/>
              </w:rPr>
              <w:t>d</w:t>
            </w:r>
            <w:r w:rsidR="00A94D5C" w:rsidRPr="00EE3AC6">
              <w:rPr>
                <w:sz w:val="20"/>
                <w:szCs w:val="20"/>
              </w:rPr>
              <w:t xml:space="preserve"> </w:t>
            </w:r>
            <w:r w:rsidR="00D56C87">
              <w:rPr>
                <w:sz w:val="20"/>
                <w:szCs w:val="20"/>
              </w:rPr>
              <w:t>Nagel (Chalmers, 192-98) and Jackson (Chalmers, 283-89)</w:t>
            </w:r>
          </w:p>
          <w:p w14:paraId="3F3D6726" w14:textId="77777777" w:rsidR="00D56C87" w:rsidRDefault="00D56C87" w:rsidP="00D56C87">
            <w:pPr>
              <w:rPr>
                <w:sz w:val="20"/>
                <w:szCs w:val="20"/>
              </w:rPr>
            </w:pPr>
          </w:p>
          <w:p w14:paraId="578749FE" w14:textId="2FD612C3" w:rsidR="00D56C87" w:rsidRDefault="00DA4848" w:rsidP="00D56C87">
            <w:pPr>
              <w:rPr>
                <w:sz w:val="20"/>
                <w:szCs w:val="20"/>
              </w:rPr>
            </w:pPr>
            <w:r w:rsidRPr="00EC4F1D">
              <w:rPr>
                <w:sz w:val="20"/>
                <w:szCs w:val="20"/>
              </w:rPr>
              <w:t>September 2</w:t>
            </w:r>
            <w:r w:rsidR="00300E90">
              <w:rPr>
                <w:sz w:val="20"/>
                <w:szCs w:val="20"/>
              </w:rPr>
              <w:t>2</w:t>
            </w:r>
            <w:r w:rsidRPr="00EC4F1D">
              <w:rPr>
                <w:sz w:val="20"/>
                <w:szCs w:val="20"/>
              </w:rPr>
              <w:t xml:space="preserve">: </w:t>
            </w:r>
            <w:r w:rsidR="00E73A70" w:rsidRPr="00D56C87">
              <w:rPr>
                <w:sz w:val="20"/>
                <w:szCs w:val="20"/>
                <w:highlight w:val="yellow"/>
              </w:rPr>
              <w:t>Read</w:t>
            </w:r>
            <w:r w:rsidR="00D56C87" w:rsidRPr="00D56C87">
              <w:rPr>
                <w:sz w:val="20"/>
                <w:szCs w:val="20"/>
                <w:highlight w:val="yellow"/>
              </w:rPr>
              <w:t xml:space="preserve"> </w:t>
            </w:r>
            <w:proofErr w:type="spellStart"/>
            <w:r w:rsidR="00D56C87" w:rsidRPr="00D56C87">
              <w:rPr>
                <w:sz w:val="20"/>
                <w:szCs w:val="20"/>
                <w:highlight w:val="yellow"/>
              </w:rPr>
              <w:t>Brogaard</w:t>
            </w:r>
            <w:proofErr w:type="spellEnd"/>
            <w:r w:rsidR="00D56C87" w:rsidRPr="00D56C87">
              <w:rPr>
                <w:sz w:val="20"/>
                <w:szCs w:val="20"/>
                <w:highlight w:val="yellow"/>
              </w:rPr>
              <w:t xml:space="preserve"> (Blackboard)</w:t>
            </w:r>
            <w:r w:rsidR="00D56C87">
              <w:rPr>
                <w:sz w:val="20"/>
                <w:szCs w:val="20"/>
              </w:rPr>
              <w:t xml:space="preserve"> </w:t>
            </w:r>
          </w:p>
          <w:p w14:paraId="429A9EA1" w14:textId="40C44D85" w:rsidR="00D56C87" w:rsidRDefault="00D56C87" w:rsidP="00D56C87">
            <w:pPr>
              <w:rPr>
                <w:b/>
                <w:bCs/>
                <w:sz w:val="20"/>
                <w:szCs w:val="20"/>
              </w:rPr>
            </w:pPr>
          </w:p>
          <w:p w14:paraId="1026550A" w14:textId="77777777" w:rsidR="00FF2B07" w:rsidRDefault="00D56C87" w:rsidP="00D56C87">
            <w:pPr>
              <w:rPr>
                <w:sz w:val="20"/>
                <w:szCs w:val="20"/>
              </w:rPr>
            </w:pPr>
            <w:r>
              <w:rPr>
                <w:sz w:val="20"/>
                <w:szCs w:val="20"/>
              </w:rPr>
              <w:lastRenderedPageBreak/>
              <w:t xml:space="preserve">**Supplemental Reading: Rosenthal (Chalmers) </w:t>
            </w:r>
          </w:p>
          <w:p w14:paraId="738246DD" w14:textId="77777777" w:rsidR="00D56C87" w:rsidRDefault="00D56C87" w:rsidP="00D56C87">
            <w:pPr>
              <w:rPr>
                <w:sz w:val="20"/>
                <w:szCs w:val="20"/>
              </w:rPr>
            </w:pPr>
          </w:p>
          <w:p w14:paraId="00DA67E3" w14:textId="1CADCBEF" w:rsidR="00D56C87" w:rsidRPr="00D56C87" w:rsidRDefault="00D56C87" w:rsidP="00D56C87">
            <w:pPr>
              <w:rPr>
                <w:sz w:val="20"/>
                <w:szCs w:val="20"/>
                <w:lang w:val="it-IT"/>
              </w:rPr>
            </w:pPr>
            <w:r w:rsidRPr="00D56C87">
              <w:rPr>
                <w:sz w:val="20"/>
                <w:szCs w:val="20"/>
                <w:highlight w:val="yellow"/>
                <w:lang w:val="it-IT"/>
              </w:rPr>
              <w:t>***</w:t>
            </w:r>
            <w:proofErr w:type="spellStart"/>
            <w:r w:rsidRPr="00D56C87">
              <w:rPr>
                <w:sz w:val="20"/>
                <w:szCs w:val="20"/>
                <w:highlight w:val="yellow"/>
                <w:lang w:val="it-IT"/>
              </w:rPr>
              <w:t>Response</w:t>
            </w:r>
            <w:proofErr w:type="spellEnd"/>
            <w:r w:rsidRPr="00D56C87">
              <w:rPr>
                <w:sz w:val="20"/>
                <w:szCs w:val="20"/>
                <w:highlight w:val="yellow"/>
                <w:lang w:val="it-IT"/>
              </w:rPr>
              <w:t xml:space="preserve"> </w:t>
            </w:r>
            <w:proofErr w:type="spellStart"/>
            <w:r w:rsidRPr="00D56C87">
              <w:rPr>
                <w:sz w:val="20"/>
                <w:szCs w:val="20"/>
                <w:highlight w:val="yellow"/>
                <w:lang w:val="it-IT"/>
              </w:rPr>
              <w:t>Paper</w:t>
            </w:r>
            <w:proofErr w:type="spellEnd"/>
            <w:r w:rsidRPr="00D56C87">
              <w:rPr>
                <w:sz w:val="20"/>
                <w:szCs w:val="20"/>
                <w:highlight w:val="yellow"/>
                <w:lang w:val="it-IT"/>
              </w:rPr>
              <w:t xml:space="preserve"> #1 due (</w:t>
            </w:r>
            <w:proofErr w:type="spellStart"/>
            <w:r w:rsidRPr="00D56C87">
              <w:rPr>
                <w:sz w:val="20"/>
                <w:szCs w:val="20"/>
                <w:highlight w:val="yellow"/>
                <w:lang w:val="it-IT"/>
              </w:rPr>
              <w:t>Ryle</w:t>
            </w:r>
            <w:proofErr w:type="spellEnd"/>
            <w:r w:rsidRPr="00D56C87">
              <w:rPr>
                <w:sz w:val="20"/>
                <w:szCs w:val="20"/>
                <w:highlight w:val="yellow"/>
                <w:lang w:val="it-IT"/>
              </w:rPr>
              <w:t xml:space="preserve">, </w:t>
            </w:r>
            <w:proofErr w:type="spellStart"/>
            <w:r w:rsidRPr="00D56C87">
              <w:rPr>
                <w:sz w:val="20"/>
                <w:szCs w:val="20"/>
                <w:highlight w:val="yellow"/>
                <w:lang w:val="it-IT"/>
              </w:rPr>
              <w:t>Block</w:t>
            </w:r>
            <w:proofErr w:type="spellEnd"/>
            <w:r w:rsidRPr="00D56C87">
              <w:rPr>
                <w:sz w:val="20"/>
                <w:szCs w:val="20"/>
                <w:highlight w:val="yellow"/>
                <w:lang w:val="it-IT"/>
              </w:rPr>
              <w:t xml:space="preserve">, Montero or </w:t>
            </w:r>
            <w:proofErr w:type="spellStart"/>
            <w:r w:rsidRPr="00D56C87">
              <w:rPr>
                <w:sz w:val="20"/>
                <w:szCs w:val="20"/>
                <w:highlight w:val="yellow"/>
                <w:lang w:val="it-IT"/>
              </w:rPr>
              <w:t>Brogaard</w:t>
            </w:r>
            <w:proofErr w:type="spellEnd"/>
            <w:r w:rsidRPr="00D56C87">
              <w:rPr>
                <w:sz w:val="20"/>
                <w:szCs w:val="20"/>
                <w:highlight w:val="yellow"/>
                <w:lang w:val="it-IT"/>
              </w:rPr>
              <w:t>)</w:t>
            </w:r>
            <w:r>
              <w:rPr>
                <w:sz w:val="20"/>
                <w:szCs w:val="20"/>
                <w:lang w:val="it-IT"/>
              </w:rPr>
              <w:t xml:space="preserve"> </w:t>
            </w:r>
          </w:p>
        </w:tc>
      </w:tr>
    </w:tbl>
    <w:p w14:paraId="6B0C8027" w14:textId="2493762D" w:rsidR="00DA4848" w:rsidRPr="00D56C87" w:rsidRDefault="00DA4848" w:rsidP="00DA4848">
      <w:pPr>
        <w:rPr>
          <w:sz w:val="20"/>
          <w:szCs w:val="20"/>
          <w:lang w:val="it-IT"/>
        </w:rPr>
      </w:pPr>
    </w:p>
    <w:tbl>
      <w:tblPr>
        <w:tblStyle w:val="TableGrid"/>
        <w:tblW w:w="0" w:type="auto"/>
        <w:tblLook w:val="04A0" w:firstRow="1" w:lastRow="0" w:firstColumn="1" w:lastColumn="0" w:noHBand="0" w:noVBand="1"/>
      </w:tblPr>
      <w:tblGrid>
        <w:gridCol w:w="9350"/>
      </w:tblGrid>
      <w:tr w:rsidR="00DA4848" w:rsidRPr="00EC4F1D" w14:paraId="08D2E9A5" w14:textId="77777777" w:rsidTr="00E070FD">
        <w:trPr>
          <w:trHeight w:val="233"/>
        </w:trPr>
        <w:tc>
          <w:tcPr>
            <w:tcW w:w="9350" w:type="dxa"/>
          </w:tcPr>
          <w:p w14:paraId="599D3B86" w14:textId="3828D983" w:rsidR="00DA4848" w:rsidRPr="00EC4F1D" w:rsidRDefault="00DA4848" w:rsidP="00E070FD">
            <w:pPr>
              <w:rPr>
                <w:b/>
                <w:bCs/>
                <w:sz w:val="20"/>
                <w:szCs w:val="20"/>
              </w:rPr>
            </w:pPr>
            <w:r w:rsidRPr="00EC4F1D">
              <w:rPr>
                <w:b/>
                <w:bCs/>
                <w:sz w:val="20"/>
                <w:szCs w:val="20"/>
              </w:rPr>
              <w:t>Week 6</w:t>
            </w:r>
            <w:r w:rsidR="001E3534">
              <w:rPr>
                <w:b/>
                <w:bCs/>
                <w:sz w:val="20"/>
                <w:szCs w:val="20"/>
              </w:rPr>
              <w:t xml:space="preserve"> – </w:t>
            </w:r>
            <w:r w:rsidR="00D56C87">
              <w:rPr>
                <w:b/>
                <w:bCs/>
                <w:sz w:val="20"/>
                <w:szCs w:val="20"/>
              </w:rPr>
              <w:t xml:space="preserve">Consciousness, cont’d </w:t>
            </w:r>
          </w:p>
          <w:p w14:paraId="06E49853" w14:textId="638C355D" w:rsidR="005E1AE7" w:rsidRDefault="00DA4848" w:rsidP="00D56C87">
            <w:pPr>
              <w:rPr>
                <w:sz w:val="20"/>
                <w:szCs w:val="20"/>
              </w:rPr>
            </w:pPr>
            <w:r w:rsidRPr="00EC4F1D">
              <w:rPr>
                <w:sz w:val="20"/>
                <w:szCs w:val="20"/>
              </w:rPr>
              <w:t>September 2</w:t>
            </w:r>
            <w:r w:rsidR="00300E90">
              <w:rPr>
                <w:sz w:val="20"/>
                <w:szCs w:val="20"/>
              </w:rPr>
              <w:t>7</w:t>
            </w:r>
            <w:r w:rsidRPr="00EC4F1D">
              <w:rPr>
                <w:sz w:val="20"/>
                <w:szCs w:val="20"/>
              </w:rPr>
              <w:t xml:space="preserve">: </w:t>
            </w:r>
            <w:r w:rsidR="00E26522">
              <w:rPr>
                <w:sz w:val="20"/>
                <w:szCs w:val="20"/>
              </w:rPr>
              <w:t>Read</w:t>
            </w:r>
            <w:r w:rsidR="00D56C87">
              <w:rPr>
                <w:sz w:val="20"/>
                <w:szCs w:val="20"/>
              </w:rPr>
              <w:t xml:space="preserve"> Dennett (Chalmers, 199-218)</w:t>
            </w:r>
          </w:p>
          <w:p w14:paraId="37ECE7BB" w14:textId="77777777" w:rsidR="00D56C87" w:rsidRDefault="00D56C87" w:rsidP="00D56C87">
            <w:pPr>
              <w:rPr>
                <w:sz w:val="20"/>
                <w:szCs w:val="20"/>
              </w:rPr>
            </w:pPr>
          </w:p>
          <w:p w14:paraId="7854C44B" w14:textId="4D1D20F3" w:rsidR="00D56C87" w:rsidRDefault="00300E90" w:rsidP="00D56C87">
            <w:pPr>
              <w:rPr>
                <w:sz w:val="20"/>
                <w:szCs w:val="20"/>
              </w:rPr>
            </w:pPr>
            <w:r>
              <w:rPr>
                <w:sz w:val="20"/>
                <w:szCs w:val="20"/>
              </w:rPr>
              <w:t>September 29</w:t>
            </w:r>
            <w:r w:rsidR="00DA4848" w:rsidRPr="00EC4F1D">
              <w:rPr>
                <w:sz w:val="20"/>
                <w:szCs w:val="20"/>
              </w:rPr>
              <w:t xml:space="preserve">: </w:t>
            </w:r>
            <w:r w:rsidR="00D56C87">
              <w:rPr>
                <w:sz w:val="20"/>
                <w:szCs w:val="20"/>
              </w:rPr>
              <w:t>Read Balog (Chalmers, 311-24)</w:t>
            </w:r>
          </w:p>
          <w:p w14:paraId="55FA2902" w14:textId="78E627F9" w:rsidR="00D56C87" w:rsidRDefault="00D56C87" w:rsidP="00D56C87">
            <w:pPr>
              <w:rPr>
                <w:sz w:val="20"/>
                <w:szCs w:val="20"/>
              </w:rPr>
            </w:pPr>
          </w:p>
          <w:p w14:paraId="3E0960CA" w14:textId="6D215D28" w:rsidR="00C70D53" w:rsidRPr="00D56C87" w:rsidRDefault="00D56C87" w:rsidP="00D56C87">
            <w:pPr>
              <w:rPr>
                <w:sz w:val="20"/>
                <w:szCs w:val="20"/>
              </w:rPr>
            </w:pPr>
            <w:r>
              <w:rPr>
                <w:sz w:val="20"/>
                <w:szCs w:val="20"/>
              </w:rPr>
              <w:t xml:space="preserve">** Supplemental Reading: </w:t>
            </w:r>
            <w:proofErr w:type="spellStart"/>
            <w:r w:rsidRPr="00D56C87">
              <w:rPr>
                <w:sz w:val="20"/>
                <w:szCs w:val="20"/>
              </w:rPr>
              <w:t>Mørch</w:t>
            </w:r>
            <w:proofErr w:type="spellEnd"/>
            <w:r>
              <w:rPr>
                <w:sz w:val="20"/>
                <w:szCs w:val="20"/>
              </w:rPr>
              <w:t xml:space="preserve"> (Chalmers) </w:t>
            </w:r>
          </w:p>
        </w:tc>
      </w:tr>
    </w:tbl>
    <w:p w14:paraId="1E5A24A1" w14:textId="77777777" w:rsidR="00DA4848" w:rsidRPr="00EC4F1D" w:rsidRDefault="00DA4848" w:rsidP="00DA4848">
      <w:pPr>
        <w:rPr>
          <w:b/>
          <w:bCs/>
          <w:sz w:val="20"/>
          <w:szCs w:val="20"/>
          <w:u w:val="single"/>
        </w:rPr>
      </w:pPr>
    </w:p>
    <w:tbl>
      <w:tblPr>
        <w:tblStyle w:val="TableGrid"/>
        <w:tblW w:w="0" w:type="auto"/>
        <w:tblLook w:val="04A0" w:firstRow="1" w:lastRow="0" w:firstColumn="1" w:lastColumn="0" w:noHBand="0" w:noVBand="1"/>
      </w:tblPr>
      <w:tblGrid>
        <w:gridCol w:w="9350"/>
      </w:tblGrid>
      <w:tr w:rsidR="00DA4848" w:rsidRPr="00EC4F1D" w14:paraId="088390A1" w14:textId="77777777" w:rsidTr="00E070FD">
        <w:trPr>
          <w:trHeight w:val="971"/>
        </w:trPr>
        <w:tc>
          <w:tcPr>
            <w:tcW w:w="9350" w:type="dxa"/>
          </w:tcPr>
          <w:p w14:paraId="033BE51F" w14:textId="06E889AB" w:rsidR="00DA4848" w:rsidRPr="00EC4F1D" w:rsidRDefault="00DA4848" w:rsidP="00D56C87">
            <w:pPr>
              <w:rPr>
                <w:b/>
                <w:bCs/>
                <w:sz w:val="20"/>
                <w:szCs w:val="20"/>
              </w:rPr>
            </w:pPr>
            <w:r w:rsidRPr="00EC4F1D">
              <w:rPr>
                <w:b/>
                <w:bCs/>
                <w:sz w:val="20"/>
                <w:szCs w:val="20"/>
              </w:rPr>
              <w:t>Week 7</w:t>
            </w:r>
            <w:r w:rsidR="001E3534">
              <w:rPr>
                <w:b/>
                <w:bCs/>
                <w:sz w:val="20"/>
                <w:szCs w:val="20"/>
              </w:rPr>
              <w:t xml:space="preserve"> – </w:t>
            </w:r>
            <w:r w:rsidR="00D56C87">
              <w:rPr>
                <w:b/>
                <w:bCs/>
                <w:sz w:val="20"/>
                <w:szCs w:val="20"/>
              </w:rPr>
              <w:t xml:space="preserve">Content and Intentionality </w:t>
            </w:r>
          </w:p>
          <w:p w14:paraId="1FF450F8" w14:textId="46AF0FDC" w:rsidR="00DA4848" w:rsidRPr="00EC4F1D" w:rsidRDefault="00DA4848" w:rsidP="00D56C87">
            <w:pPr>
              <w:rPr>
                <w:sz w:val="20"/>
                <w:szCs w:val="20"/>
              </w:rPr>
            </w:pPr>
            <w:r w:rsidRPr="00EC4F1D">
              <w:rPr>
                <w:sz w:val="20"/>
                <w:szCs w:val="20"/>
              </w:rPr>
              <w:t xml:space="preserve">October </w:t>
            </w:r>
            <w:r w:rsidR="00300E90">
              <w:rPr>
                <w:sz w:val="20"/>
                <w:szCs w:val="20"/>
              </w:rPr>
              <w:t>4</w:t>
            </w:r>
            <w:r w:rsidR="00C70D53">
              <w:rPr>
                <w:sz w:val="20"/>
                <w:szCs w:val="20"/>
              </w:rPr>
              <w:t xml:space="preserve">: </w:t>
            </w:r>
            <w:r w:rsidR="00D56C87">
              <w:rPr>
                <w:sz w:val="20"/>
                <w:szCs w:val="20"/>
              </w:rPr>
              <w:t>Read Brentano (Chalmers, 338-342)</w:t>
            </w:r>
          </w:p>
          <w:p w14:paraId="0AB45796" w14:textId="77777777" w:rsidR="005E1AE7" w:rsidRDefault="005E1AE7" w:rsidP="00DA4848">
            <w:pPr>
              <w:rPr>
                <w:sz w:val="20"/>
                <w:szCs w:val="20"/>
              </w:rPr>
            </w:pPr>
          </w:p>
          <w:p w14:paraId="334685E2" w14:textId="4E073A86" w:rsidR="00D56C87" w:rsidRDefault="00DA4848" w:rsidP="00D56C87">
            <w:pPr>
              <w:rPr>
                <w:sz w:val="20"/>
                <w:szCs w:val="20"/>
              </w:rPr>
            </w:pPr>
            <w:r w:rsidRPr="00EC4F1D">
              <w:rPr>
                <w:sz w:val="20"/>
                <w:szCs w:val="20"/>
              </w:rPr>
              <w:t xml:space="preserve">October </w:t>
            </w:r>
            <w:r w:rsidR="00300E90">
              <w:rPr>
                <w:sz w:val="20"/>
                <w:szCs w:val="20"/>
              </w:rPr>
              <w:t>6</w:t>
            </w:r>
            <w:r w:rsidRPr="00EC4F1D">
              <w:rPr>
                <w:sz w:val="20"/>
                <w:szCs w:val="20"/>
              </w:rPr>
              <w:t>:</w:t>
            </w:r>
            <w:r w:rsidR="00D56C87">
              <w:rPr>
                <w:sz w:val="20"/>
                <w:szCs w:val="20"/>
              </w:rPr>
              <w:t xml:space="preserve"> </w:t>
            </w:r>
            <w:r w:rsidR="00D56C87" w:rsidRPr="00D56C87">
              <w:rPr>
                <w:sz w:val="20"/>
                <w:szCs w:val="20"/>
                <w:highlight w:val="yellow"/>
              </w:rPr>
              <w:t>Read Millikan (Chalmers, 378-387)</w:t>
            </w:r>
            <w:r w:rsidR="00B8251E">
              <w:rPr>
                <w:sz w:val="20"/>
                <w:szCs w:val="20"/>
              </w:rPr>
              <w:t xml:space="preserve"> - </w:t>
            </w:r>
            <w:r w:rsidR="00B8251E" w:rsidRPr="00B8251E">
              <w:rPr>
                <w:b/>
                <w:bCs/>
                <w:sz w:val="20"/>
                <w:szCs w:val="20"/>
              </w:rPr>
              <w:t>**note: virtual class meeting today on Zoom**</w:t>
            </w:r>
            <w:r w:rsidR="00B8251E">
              <w:rPr>
                <w:sz w:val="20"/>
                <w:szCs w:val="20"/>
              </w:rPr>
              <w:t xml:space="preserve"> </w:t>
            </w:r>
          </w:p>
          <w:p w14:paraId="3AC53A5B" w14:textId="77777777" w:rsidR="00D56C87" w:rsidRPr="00EC4F1D" w:rsidRDefault="00D56C87" w:rsidP="00D56C87">
            <w:pPr>
              <w:rPr>
                <w:b/>
                <w:bCs/>
                <w:sz w:val="20"/>
                <w:szCs w:val="20"/>
              </w:rPr>
            </w:pPr>
          </w:p>
          <w:p w14:paraId="7AD2EAB8" w14:textId="2A17CF70" w:rsidR="001F55B4" w:rsidRPr="00D56C87" w:rsidRDefault="00D56C87" w:rsidP="00DA4848">
            <w:pPr>
              <w:rPr>
                <w:sz w:val="20"/>
                <w:szCs w:val="20"/>
              </w:rPr>
            </w:pPr>
            <w:r>
              <w:rPr>
                <w:sz w:val="20"/>
                <w:szCs w:val="20"/>
              </w:rPr>
              <w:t>**Supplemental Reading: Chisholm, Atkins (Chalmers)</w:t>
            </w:r>
          </w:p>
        </w:tc>
      </w:tr>
    </w:tbl>
    <w:p w14:paraId="3A5026AA" w14:textId="77777777" w:rsidR="00DA4848" w:rsidRPr="00EC4F1D" w:rsidRDefault="00DA4848" w:rsidP="00DA4848">
      <w:pPr>
        <w:rPr>
          <w:b/>
          <w:bCs/>
          <w:sz w:val="20"/>
          <w:szCs w:val="20"/>
          <w:u w:val="single"/>
        </w:rPr>
      </w:pPr>
    </w:p>
    <w:tbl>
      <w:tblPr>
        <w:tblStyle w:val="TableGrid"/>
        <w:tblW w:w="0" w:type="auto"/>
        <w:tblLook w:val="04A0" w:firstRow="1" w:lastRow="0" w:firstColumn="1" w:lastColumn="0" w:noHBand="0" w:noVBand="1"/>
      </w:tblPr>
      <w:tblGrid>
        <w:gridCol w:w="9350"/>
      </w:tblGrid>
      <w:tr w:rsidR="00DA4848" w:rsidRPr="00EC4F1D" w14:paraId="4D1D40ED" w14:textId="77777777" w:rsidTr="00E070FD">
        <w:tc>
          <w:tcPr>
            <w:tcW w:w="9350" w:type="dxa"/>
          </w:tcPr>
          <w:p w14:paraId="2FE807BF" w14:textId="531FB7ED" w:rsidR="00DA4848" w:rsidRPr="00EC4F1D" w:rsidRDefault="00DA4848" w:rsidP="00D70A0E">
            <w:pPr>
              <w:rPr>
                <w:b/>
                <w:bCs/>
                <w:sz w:val="20"/>
                <w:szCs w:val="20"/>
              </w:rPr>
            </w:pPr>
            <w:r w:rsidRPr="00EC4F1D">
              <w:rPr>
                <w:b/>
                <w:bCs/>
                <w:sz w:val="20"/>
                <w:szCs w:val="20"/>
              </w:rPr>
              <w:t>Week 8</w:t>
            </w:r>
            <w:r w:rsidR="001E3534">
              <w:rPr>
                <w:b/>
                <w:bCs/>
                <w:sz w:val="20"/>
                <w:szCs w:val="20"/>
              </w:rPr>
              <w:t xml:space="preserve"> – </w:t>
            </w:r>
            <w:r w:rsidR="00D70A0E">
              <w:rPr>
                <w:b/>
                <w:bCs/>
                <w:sz w:val="20"/>
                <w:szCs w:val="20"/>
              </w:rPr>
              <w:t>Intentionality</w:t>
            </w:r>
            <w:r w:rsidR="00D56C87">
              <w:rPr>
                <w:b/>
                <w:bCs/>
                <w:sz w:val="20"/>
                <w:szCs w:val="20"/>
              </w:rPr>
              <w:t>, cont’d</w:t>
            </w:r>
            <w:r w:rsidR="00B8251E">
              <w:rPr>
                <w:b/>
                <w:bCs/>
                <w:sz w:val="20"/>
                <w:szCs w:val="20"/>
              </w:rPr>
              <w:t xml:space="preserve"> </w:t>
            </w:r>
          </w:p>
          <w:p w14:paraId="20732876" w14:textId="065CFB94" w:rsidR="002D55EA" w:rsidRDefault="00DA4848" w:rsidP="00D56C87">
            <w:pPr>
              <w:rPr>
                <w:sz w:val="20"/>
                <w:szCs w:val="20"/>
              </w:rPr>
            </w:pPr>
            <w:r w:rsidRPr="00EC4F1D">
              <w:rPr>
                <w:sz w:val="20"/>
                <w:szCs w:val="20"/>
              </w:rPr>
              <w:t xml:space="preserve">October </w:t>
            </w:r>
            <w:r w:rsidR="00300E90">
              <w:rPr>
                <w:sz w:val="20"/>
                <w:szCs w:val="20"/>
              </w:rPr>
              <w:t>11</w:t>
            </w:r>
            <w:r w:rsidRPr="00EC4F1D">
              <w:rPr>
                <w:sz w:val="20"/>
                <w:szCs w:val="20"/>
              </w:rPr>
              <w:t xml:space="preserve">: </w:t>
            </w:r>
            <w:r w:rsidR="00605D0A" w:rsidRPr="00D56C87">
              <w:rPr>
                <w:sz w:val="20"/>
                <w:szCs w:val="20"/>
                <w:highlight w:val="yellow"/>
              </w:rPr>
              <w:t>Read</w:t>
            </w:r>
            <w:r w:rsidR="00D56C87" w:rsidRPr="00D56C87">
              <w:rPr>
                <w:sz w:val="20"/>
                <w:szCs w:val="20"/>
                <w:highlight w:val="yellow"/>
              </w:rPr>
              <w:t xml:space="preserve"> Horgan and </w:t>
            </w:r>
            <w:proofErr w:type="spellStart"/>
            <w:r w:rsidR="00D56C87" w:rsidRPr="00D56C87">
              <w:rPr>
                <w:sz w:val="20"/>
                <w:szCs w:val="20"/>
                <w:highlight w:val="yellow"/>
              </w:rPr>
              <w:t>Tienson</w:t>
            </w:r>
            <w:proofErr w:type="spellEnd"/>
            <w:r w:rsidR="00D56C87" w:rsidRPr="00D56C87">
              <w:rPr>
                <w:sz w:val="20"/>
                <w:szCs w:val="20"/>
                <w:highlight w:val="yellow"/>
              </w:rPr>
              <w:t xml:space="preserve"> (Chalmers, 401-414)</w:t>
            </w:r>
            <w:r w:rsidR="00B8251E">
              <w:rPr>
                <w:sz w:val="20"/>
                <w:szCs w:val="20"/>
              </w:rPr>
              <w:t xml:space="preserve"> </w:t>
            </w:r>
          </w:p>
          <w:p w14:paraId="316EC555" w14:textId="77777777" w:rsidR="00D56C87" w:rsidRDefault="00D56C87" w:rsidP="00D56C87">
            <w:pPr>
              <w:rPr>
                <w:sz w:val="20"/>
                <w:szCs w:val="20"/>
              </w:rPr>
            </w:pPr>
          </w:p>
          <w:p w14:paraId="08619E94" w14:textId="05B1CA0E" w:rsidR="00D56C87" w:rsidRPr="002D55EA" w:rsidRDefault="00DA4848" w:rsidP="00D56C87">
            <w:pPr>
              <w:tabs>
                <w:tab w:val="left" w:pos="7407"/>
              </w:tabs>
              <w:rPr>
                <w:sz w:val="20"/>
                <w:szCs w:val="20"/>
              </w:rPr>
            </w:pPr>
            <w:r w:rsidRPr="00EC4F1D">
              <w:rPr>
                <w:sz w:val="20"/>
                <w:szCs w:val="20"/>
              </w:rPr>
              <w:t>October 1</w:t>
            </w:r>
            <w:r w:rsidR="00300E90">
              <w:rPr>
                <w:sz w:val="20"/>
                <w:szCs w:val="20"/>
              </w:rPr>
              <w:t>3</w:t>
            </w:r>
            <w:r w:rsidRPr="00EC4F1D">
              <w:rPr>
                <w:sz w:val="20"/>
                <w:szCs w:val="20"/>
              </w:rPr>
              <w:t xml:space="preserve">: </w:t>
            </w:r>
            <w:r w:rsidR="00D56C87" w:rsidRPr="00D56C87">
              <w:rPr>
                <w:sz w:val="20"/>
                <w:szCs w:val="20"/>
                <w:highlight w:val="yellow"/>
              </w:rPr>
              <w:t>Read Fodor (Chalmers, 423-436)</w:t>
            </w:r>
          </w:p>
          <w:p w14:paraId="139AEF71" w14:textId="02DFDC63" w:rsidR="001F55B4" w:rsidRDefault="001F55B4" w:rsidP="002D55EA">
            <w:pPr>
              <w:tabs>
                <w:tab w:val="left" w:pos="7407"/>
              </w:tabs>
              <w:rPr>
                <w:sz w:val="20"/>
                <w:szCs w:val="20"/>
              </w:rPr>
            </w:pPr>
          </w:p>
          <w:p w14:paraId="61167AE9" w14:textId="0425D309" w:rsidR="00B8251E" w:rsidRPr="00B8251E" w:rsidRDefault="00B8251E" w:rsidP="00B8251E">
            <w:pPr>
              <w:tabs>
                <w:tab w:val="left" w:pos="7407"/>
              </w:tabs>
              <w:jc w:val="center"/>
              <w:rPr>
                <w:b/>
                <w:bCs/>
                <w:sz w:val="20"/>
                <w:szCs w:val="20"/>
              </w:rPr>
            </w:pPr>
            <w:r w:rsidRPr="00B8251E">
              <w:rPr>
                <w:b/>
                <w:bCs/>
                <w:sz w:val="20"/>
                <w:szCs w:val="20"/>
              </w:rPr>
              <w:t>**Note: This week is virtual/online lectures/online discussion board**</w:t>
            </w:r>
          </w:p>
          <w:p w14:paraId="6B8E789E" w14:textId="77777777" w:rsidR="00B8251E" w:rsidRDefault="00B8251E" w:rsidP="002D55EA">
            <w:pPr>
              <w:tabs>
                <w:tab w:val="left" w:pos="7407"/>
              </w:tabs>
              <w:rPr>
                <w:sz w:val="20"/>
                <w:szCs w:val="20"/>
              </w:rPr>
            </w:pPr>
          </w:p>
          <w:p w14:paraId="0B3A0D4F" w14:textId="09A23BE1" w:rsidR="00D56C87" w:rsidRPr="002D55EA" w:rsidRDefault="00D56C87" w:rsidP="002D55EA">
            <w:pPr>
              <w:tabs>
                <w:tab w:val="left" w:pos="7407"/>
              </w:tabs>
              <w:rPr>
                <w:sz w:val="20"/>
                <w:szCs w:val="20"/>
              </w:rPr>
            </w:pPr>
            <w:r>
              <w:rPr>
                <w:sz w:val="20"/>
                <w:szCs w:val="20"/>
              </w:rPr>
              <w:t xml:space="preserve">**Supplemental Reading: Churchland, </w:t>
            </w:r>
            <w:proofErr w:type="spellStart"/>
            <w:r>
              <w:rPr>
                <w:sz w:val="20"/>
                <w:szCs w:val="20"/>
              </w:rPr>
              <w:t>Gendler</w:t>
            </w:r>
            <w:proofErr w:type="spellEnd"/>
            <w:r>
              <w:rPr>
                <w:sz w:val="20"/>
                <w:szCs w:val="20"/>
              </w:rPr>
              <w:t xml:space="preserve"> (Chalmers) </w:t>
            </w:r>
          </w:p>
        </w:tc>
      </w:tr>
    </w:tbl>
    <w:p w14:paraId="7650AAE5" w14:textId="77777777" w:rsidR="00DA4848" w:rsidRPr="00EC4F1D" w:rsidRDefault="00DA4848" w:rsidP="00DA4848">
      <w:pPr>
        <w:rPr>
          <w:b/>
          <w:bCs/>
          <w:sz w:val="20"/>
          <w:szCs w:val="20"/>
          <w:u w:val="single"/>
        </w:rPr>
      </w:pPr>
    </w:p>
    <w:tbl>
      <w:tblPr>
        <w:tblStyle w:val="TableGrid"/>
        <w:tblW w:w="0" w:type="auto"/>
        <w:tblLook w:val="04A0" w:firstRow="1" w:lastRow="0" w:firstColumn="1" w:lastColumn="0" w:noHBand="0" w:noVBand="1"/>
      </w:tblPr>
      <w:tblGrid>
        <w:gridCol w:w="9350"/>
      </w:tblGrid>
      <w:tr w:rsidR="00DA4848" w:rsidRPr="00EC4F1D" w14:paraId="594850B2" w14:textId="77777777" w:rsidTr="00E070FD">
        <w:tc>
          <w:tcPr>
            <w:tcW w:w="9350" w:type="dxa"/>
          </w:tcPr>
          <w:p w14:paraId="5AB5FF91" w14:textId="131A3139" w:rsidR="00D56C87" w:rsidRPr="00EC4F1D" w:rsidRDefault="00DA4848" w:rsidP="00D56C87">
            <w:pPr>
              <w:rPr>
                <w:b/>
                <w:bCs/>
                <w:sz w:val="20"/>
                <w:szCs w:val="20"/>
              </w:rPr>
            </w:pPr>
            <w:r w:rsidRPr="00EC4F1D">
              <w:rPr>
                <w:b/>
                <w:bCs/>
                <w:sz w:val="20"/>
                <w:szCs w:val="20"/>
              </w:rPr>
              <w:t>Week 9</w:t>
            </w:r>
            <w:r w:rsidR="001E3534">
              <w:rPr>
                <w:b/>
                <w:bCs/>
                <w:sz w:val="20"/>
                <w:szCs w:val="20"/>
              </w:rPr>
              <w:t xml:space="preserve"> – </w:t>
            </w:r>
            <w:proofErr w:type="spellStart"/>
            <w:r w:rsidR="00D56C87">
              <w:rPr>
                <w:b/>
                <w:bCs/>
                <w:sz w:val="20"/>
                <w:szCs w:val="20"/>
              </w:rPr>
              <w:t>Internalism</w:t>
            </w:r>
            <w:proofErr w:type="spellEnd"/>
            <w:r w:rsidR="00D56C87">
              <w:rPr>
                <w:b/>
                <w:bCs/>
                <w:sz w:val="20"/>
                <w:szCs w:val="20"/>
              </w:rPr>
              <w:t xml:space="preserve"> vs. Externalism </w:t>
            </w:r>
          </w:p>
          <w:p w14:paraId="4B604D78" w14:textId="02A1E595" w:rsidR="00DA4848" w:rsidRPr="00EC4F1D" w:rsidRDefault="00DA4848" w:rsidP="00D56C87">
            <w:pPr>
              <w:rPr>
                <w:b/>
                <w:bCs/>
                <w:sz w:val="20"/>
                <w:szCs w:val="20"/>
              </w:rPr>
            </w:pPr>
            <w:r w:rsidRPr="00EC4F1D">
              <w:rPr>
                <w:sz w:val="20"/>
                <w:szCs w:val="20"/>
              </w:rPr>
              <w:t xml:space="preserve">October </w:t>
            </w:r>
            <w:r w:rsidR="00300E90">
              <w:rPr>
                <w:sz w:val="20"/>
                <w:szCs w:val="20"/>
              </w:rPr>
              <w:t>18</w:t>
            </w:r>
            <w:r w:rsidRPr="00EC4F1D">
              <w:rPr>
                <w:sz w:val="20"/>
                <w:szCs w:val="20"/>
              </w:rPr>
              <w:t xml:space="preserve">: </w:t>
            </w:r>
            <w:r w:rsidR="00C02C1C">
              <w:rPr>
                <w:sz w:val="20"/>
                <w:szCs w:val="20"/>
              </w:rPr>
              <w:t>Read</w:t>
            </w:r>
            <w:r w:rsidR="00D56C87">
              <w:rPr>
                <w:sz w:val="20"/>
                <w:szCs w:val="20"/>
              </w:rPr>
              <w:t xml:space="preserve"> Putnam (Chalmers, 479-493) </w:t>
            </w:r>
          </w:p>
          <w:p w14:paraId="4888E43D" w14:textId="77777777" w:rsidR="00DA4848" w:rsidRPr="00EC4F1D" w:rsidRDefault="00DA4848" w:rsidP="00E070FD">
            <w:pPr>
              <w:rPr>
                <w:sz w:val="20"/>
                <w:szCs w:val="20"/>
              </w:rPr>
            </w:pPr>
          </w:p>
          <w:p w14:paraId="46A8C45D" w14:textId="3C9C0D94" w:rsidR="00DA4848" w:rsidRDefault="00DA4848" w:rsidP="00D56C87">
            <w:pPr>
              <w:rPr>
                <w:sz w:val="20"/>
                <w:szCs w:val="20"/>
              </w:rPr>
            </w:pPr>
            <w:r w:rsidRPr="00EC4F1D">
              <w:rPr>
                <w:sz w:val="20"/>
                <w:szCs w:val="20"/>
              </w:rPr>
              <w:t>October 2</w:t>
            </w:r>
            <w:r w:rsidR="00300E90">
              <w:rPr>
                <w:sz w:val="20"/>
                <w:szCs w:val="20"/>
              </w:rPr>
              <w:t>0</w:t>
            </w:r>
            <w:r w:rsidRPr="00EC4F1D">
              <w:rPr>
                <w:sz w:val="20"/>
                <w:szCs w:val="20"/>
              </w:rPr>
              <w:t xml:space="preserve">: </w:t>
            </w:r>
            <w:r w:rsidR="00D56C87" w:rsidRPr="00D56C87">
              <w:rPr>
                <w:sz w:val="20"/>
                <w:szCs w:val="20"/>
                <w:highlight w:val="yellow"/>
              </w:rPr>
              <w:t>Read Clark and Chalmers (Chalmers, 505-12)</w:t>
            </w:r>
          </w:p>
          <w:p w14:paraId="49C1C1A7" w14:textId="77777777" w:rsidR="00D56C87" w:rsidRPr="00EC4F1D" w:rsidRDefault="00D56C87" w:rsidP="00D56C87">
            <w:pPr>
              <w:rPr>
                <w:b/>
                <w:bCs/>
                <w:sz w:val="20"/>
                <w:szCs w:val="20"/>
              </w:rPr>
            </w:pPr>
          </w:p>
          <w:p w14:paraId="7BEDC13D" w14:textId="77777777" w:rsidR="00117007" w:rsidRDefault="00C57A92" w:rsidP="00D56C87">
            <w:pPr>
              <w:rPr>
                <w:sz w:val="20"/>
                <w:szCs w:val="20"/>
              </w:rPr>
            </w:pPr>
            <w:r>
              <w:rPr>
                <w:sz w:val="20"/>
                <w:szCs w:val="20"/>
              </w:rPr>
              <w:t>**</w:t>
            </w:r>
            <w:r w:rsidR="00D56C87">
              <w:rPr>
                <w:sz w:val="20"/>
                <w:szCs w:val="20"/>
              </w:rPr>
              <w:t xml:space="preserve">Supplemental Reading: Gallagher &amp; </w:t>
            </w:r>
            <w:proofErr w:type="spellStart"/>
            <w:r w:rsidR="00D56C87">
              <w:rPr>
                <w:sz w:val="20"/>
                <w:szCs w:val="20"/>
              </w:rPr>
              <w:t>Zahavi</w:t>
            </w:r>
            <w:proofErr w:type="spellEnd"/>
            <w:r w:rsidR="00D56C87">
              <w:rPr>
                <w:sz w:val="20"/>
                <w:szCs w:val="20"/>
              </w:rPr>
              <w:t xml:space="preserve"> (Chalmers); </w:t>
            </w:r>
            <w:proofErr w:type="spellStart"/>
            <w:r w:rsidR="00D56C87">
              <w:rPr>
                <w:sz w:val="20"/>
                <w:szCs w:val="20"/>
              </w:rPr>
              <w:t>Drayson</w:t>
            </w:r>
            <w:proofErr w:type="spellEnd"/>
            <w:r w:rsidR="00D56C87">
              <w:rPr>
                <w:sz w:val="20"/>
                <w:szCs w:val="20"/>
              </w:rPr>
              <w:t>, Rupert (Blackboard)</w:t>
            </w:r>
          </w:p>
          <w:p w14:paraId="3B5C26C6" w14:textId="7891BD9D" w:rsidR="00D56C87" w:rsidRPr="00D06B3C" w:rsidRDefault="00D56C87" w:rsidP="00D56C87">
            <w:pPr>
              <w:rPr>
                <w:sz w:val="20"/>
                <w:szCs w:val="20"/>
              </w:rPr>
            </w:pPr>
            <w:r w:rsidRPr="00D56C87">
              <w:rPr>
                <w:sz w:val="20"/>
                <w:szCs w:val="20"/>
                <w:highlight w:val="yellow"/>
              </w:rPr>
              <w:t>***Response Paper #2 due (Millikan, Horgan/</w:t>
            </w:r>
            <w:proofErr w:type="spellStart"/>
            <w:r w:rsidRPr="00D56C87">
              <w:rPr>
                <w:sz w:val="20"/>
                <w:szCs w:val="20"/>
                <w:highlight w:val="yellow"/>
              </w:rPr>
              <w:t>Tienson</w:t>
            </w:r>
            <w:proofErr w:type="spellEnd"/>
            <w:r w:rsidRPr="00D56C87">
              <w:rPr>
                <w:sz w:val="20"/>
                <w:szCs w:val="20"/>
                <w:highlight w:val="yellow"/>
              </w:rPr>
              <w:t>, Fodor, or Clark/Chalmers)</w:t>
            </w:r>
            <w:r>
              <w:rPr>
                <w:sz w:val="20"/>
                <w:szCs w:val="20"/>
              </w:rPr>
              <w:t xml:space="preserve"> </w:t>
            </w:r>
          </w:p>
        </w:tc>
      </w:tr>
    </w:tbl>
    <w:p w14:paraId="562EEE22" w14:textId="48296002" w:rsidR="00DA4848" w:rsidRPr="00EC4F1D" w:rsidRDefault="00DA4848" w:rsidP="00DA4848">
      <w:pPr>
        <w:rPr>
          <w:sz w:val="20"/>
          <w:szCs w:val="20"/>
        </w:rPr>
      </w:pPr>
      <w:r w:rsidRPr="00EC4F1D">
        <w:rPr>
          <w:sz w:val="20"/>
          <w:szCs w:val="20"/>
        </w:rPr>
        <w:tab/>
      </w:r>
      <w:r w:rsidRPr="00EC4F1D">
        <w:rPr>
          <w:sz w:val="20"/>
          <w:szCs w:val="20"/>
        </w:rPr>
        <w:tab/>
      </w:r>
      <w:r w:rsidRPr="00EC4F1D">
        <w:rPr>
          <w:sz w:val="20"/>
          <w:szCs w:val="20"/>
        </w:rPr>
        <w:tab/>
      </w:r>
      <w:r w:rsidRPr="00EC4F1D">
        <w:rPr>
          <w:sz w:val="20"/>
          <w:szCs w:val="20"/>
        </w:rPr>
        <w:tab/>
      </w:r>
    </w:p>
    <w:tbl>
      <w:tblPr>
        <w:tblStyle w:val="TableGrid"/>
        <w:tblW w:w="0" w:type="auto"/>
        <w:tblLook w:val="04A0" w:firstRow="1" w:lastRow="0" w:firstColumn="1" w:lastColumn="0" w:noHBand="0" w:noVBand="1"/>
      </w:tblPr>
      <w:tblGrid>
        <w:gridCol w:w="9350"/>
      </w:tblGrid>
      <w:tr w:rsidR="00DA4848" w:rsidRPr="00EC4F1D" w14:paraId="59D6CE46" w14:textId="77777777" w:rsidTr="009C1820">
        <w:trPr>
          <w:trHeight w:val="899"/>
        </w:trPr>
        <w:tc>
          <w:tcPr>
            <w:tcW w:w="9350" w:type="dxa"/>
          </w:tcPr>
          <w:p w14:paraId="16D9C242" w14:textId="272D25F1" w:rsidR="00D70A0E" w:rsidRPr="00EC4F1D" w:rsidRDefault="00DA4848" w:rsidP="00D70A0E">
            <w:pPr>
              <w:rPr>
                <w:b/>
                <w:bCs/>
                <w:sz w:val="20"/>
                <w:szCs w:val="20"/>
              </w:rPr>
            </w:pPr>
            <w:r w:rsidRPr="00EC4F1D">
              <w:rPr>
                <w:b/>
                <w:bCs/>
                <w:sz w:val="20"/>
                <w:szCs w:val="20"/>
              </w:rPr>
              <w:t>Week 10</w:t>
            </w:r>
            <w:r w:rsidR="00D70A0E">
              <w:rPr>
                <w:b/>
                <w:bCs/>
                <w:sz w:val="20"/>
                <w:szCs w:val="20"/>
              </w:rPr>
              <w:t xml:space="preserve"> – </w:t>
            </w:r>
            <w:r w:rsidR="009C1820">
              <w:rPr>
                <w:b/>
                <w:bCs/>
                <w:sz w:val="20"/>
                <w:szCs w:val="20"/>
              </w:rPr>
              <w:t>“4E”</w:t>
            </w:r>
            <w:r w:rsidR="00D70A0E">
              <w:rPr>
                <w:b/>
                <w:bCs/>
                <w:sz w:val="20"/>
                <w:szCs w:val="20"/>
              </w:rPr>
              <w:t xml:space="preserve"> Cognition</w:t>
            </w:r>
            <w:r w:rsidR="00D56C87">
              <w:rPr>
                <w:b/>
                <w:bCs/>
                <w:sz w:val="20"/>
                <w:szCs w:val="20"/>
              </w:rPr>
              <w:t xml:space="preserve"> and its Detractors </w:t>
            </w:r>
          </w:p>
          <w:p w14:paraId="72F98026" w14:textId="6048FE5A" w:rsidR="00DA4848" w:rsidRDefault="00DA4848" w:rsidP="00D56C87">
            <w:pPr>
              <w:rPr>
                <w:sz w:val="20"/>
                <w:szCs w:val="20"/>
              </w:rPr>
            </w:pPr>
            <w:r w:rsidRPr="00EC4F1D">
              <w:rPr>
                <w:sz w:val="20"/>
                <w:szCs w:val="20"/>
              </w:rPr>
              <w:t>October 2</w:t>
            </w:r>
            <w:r w:rsidR="00300E90">
              <w:rPr>
                <w:sz w:val="20"/>
                <w:szCs w:val="20"/>
              </w:rPr>
              <w:t>5</w:t>
            </w:r>
            <w:r w:rsidRPr="00EC4F1D">
              <w:rPr>
                <w:sz w:val="20"/>
                <w:szCs w:val="20"/>
              </w:rPr>
              <w:t xml:space="preserve">: </w:t>
            </w:r>
            <w:r w:rsidR="00D56C87">
              <w:rPr>
                <w:sz w:val="20"/>
                <w:szCs w:val="20"/>
              </w:rPr>
              <w:t xml:space="preserve">Adams &amp; Aizawa (Blackboard)  </w:t>
            </w:r>
          </w:p>
          <w:p w14:paraId="6B52A167" w14:textId="77777777" w:rsidR="00D56C87" w:rsidRPr="00EC4F1D" w:rsidRDefault="00D56C87" w:rsidP="00D56C87">
            <w:pPr>
              <w:rPr>
                <w:sz w:val="20"/>
                <w:szCs w:val="20"/>
              </w:rPr>
            </w:pPr>
          </w:p>
          <w:p w14:paraId="185DE38E" w14:textId="1E90F24E" w:rsidR="00D56C87" w:rsidRPr="00EC4F1D" w:rsidRDefault="00DA4848" w:rsidP="00B8251E">
            <w:pPr>
              <w:rPr>
                <w:b/>
                <w:bCs/>
                <w:sz w:val="20"/>
                <w:szCs w:val="20"/>
              </w:rPr>
            </w:pPr>
            <w:r w:rsidRPr="00EC4F1D">
              <w:rPr>
                <w:sz w:val="20"/>
                <w:szCs w:val="20"/>
              </w:rPr>
              <w:t>October 2</w:t>
            </w:r>
            <w:r w:rsidR="00300E90">
              <w:rPr>
                <w:sz w:val="20"/>
                <w:szCs w:val="20"/>
              </w:rPr>
              <w:t>7</w:t>
            </w:r>
            <w:r w:rsidRPr="00EC4F1D">
              <w:rPr>
                <w:sz w:val="20"/>
                <w:szCs w:val="20"/>
              </w:rPr>
              <w:t xml:space="preserve">: </w:t>
            </w:r>
            <w:r w:rsidR="00D56C87">
              <w:rPr>
                <w:sz w:val="20"/>
                <w:szCs w:val="20"/>
              </w:rPr>
              <w:t>Read</w:t>
            </w:r>
            <w:r w:rsidR="00B8251E">
              <w:rPr>
                <w:sz w:val="20"/>
                <w:szCs w:val="20"/>
              </w:rPr>
              <w:t xml:space="preserve">: Ward and Stapleton (Blackboard) </w:t>
            </w:r>
          </w:p>
          <w:p w14:paraId="64EF8C0F" w14:textId="77777777" w:rsidR="00D56C87" w:rsidRPr="00EC4F1D" w:rsidRDefault="00D56C87" w:rsidP="00D56C87">
            <w:pPr>
              <w:rPr>
                <w:sz w:val="20"/>
                <w:szCs w:val="20"/>
              </w:rPr>
            </w:pPr>
          </w:p>
          <w:p w14:paraId="1F5B902A" w14:textId="67DC65CD" w:rsidR="00DA4848" w:rsidRDefault="00D56C87" w:rsidP="00D06B3C">
            <w:pPr>
              <w:rPr>
                <w:sz w:val="20"/>
                <w:szCs w:val="20"/>
              </w:rPr>
            </w:pPr>
            <w:r>
              <w:rPr>
                <w:sz w:val="20"/>
                <w:szCs w:val="20"/>
              </w:rPr>
              <w:t>**Supplemental Reading:</w:t>
            </w:r>
            <w:r w:rsidR="00B8251E">
              <w:rPr>
                <w:sz w:val="20"/>
                <w:szCs w:val="20"/>
              </w:rPr>
              <w:t xml:space="preserve"> Hutto, Noe &amp; </w:t>
            </w:r>
            <w:proofErr w:type="spellStart"/>
            <w:r w:rsidR="00B8251E">
              <w:rPr>
                <w:sz w:val="20"/>
                <w:szCs w:val="20"/>
              </w:rPr>
              <w:t>O’Reagan</w:t>
            </w:r>
            <w:proofErr w:type="spellEnd"/>
            <w:r w:rsidR="00B8251E">
              <w:rPr>
                <w:sz w:val="20"/>
                <w:szCs w:val="20"/>
              </w:rPr>
              <w:t xml:space="preserve"> (Blackboard) </w:t>
            </w:r>
          </w:p>
          <w:p w14:paraId="55388655" w14:textId="77777777" w:rsidR="00D56C87" w:rsidRDefault="00D56C87" w:rsidP="00D06B3C">
            <w:pPr>
              <w:rPr>
                <w:sz w:val="20"/>
                <w:szCs w:val="20"/>
              </w:rPr>
            </w:pPr>
          </w:p>
          <w:p w14:paraId="4432543F" w14:textId="368C1346" w:rsidR="00D56C87" w:rsidRPr="00D56C87" w:rsidRDefault="00D56C87" w:rsidP="00D06B3C">
            <w:pPr>
              <w:rPr>
                <w:b/>
                <w:bCs/>
                <w:sz w:val="20"/>
                <w:szCs w:val="20"/>
              </w:rPr>
            </w:pPr>
            <w:r w:rsidRPr="00D56C87">
              <w:rPr>
                <w:b/>
                <w:bCs/>
                <w:sz w:val="20"/>
                <w:szCs w:val="20"/>
                <w:highlight w:val="magenta"/>
              </w:rPr>
              <w:t>***First Long Paper Due October 28, by 11:59pm***</w:t>
            </w:r>
          </w:p>
        </w:tc>
      </w:tr>
    </w:tbl>
    <w:p w14:paraId="20B44805" w14:textId="77777777" w:rsidR="00DA4848" w:rsidRPr="00EC4F1D" w:rsidRDefault="00DA4848" w:rsidP="00DA4848">
      <w:pPr>
        <w:rPr>
          <w:sz w:val="20"/>
          <w:szCs w:val="20"/>
        </w:rPr>
      </w:pPr>
    </w:p>
    <w:tbl>
      <w:tblPr>
        <w:tblStyle w:val="TableGrid"/>
        <w:tblW w:w="0" w:type="auto"/>
        <w:tblLook w:val="04A0" w:firstRow="1" w:lastRow="0" w:firstColumn="1" w:lastColumn="0" w:noHBand="0" w:noVBand="1"/>
      </w:tblPr>
      <w:tblGrid>
        <w:gridCol w:w="9350"/>
      </w:tblGrid>
      <w:tr w:rsidR="00DA4848" w:rsidRPr="00EC4F1D" w14:paraId="35ECB75B" w14:textId="77777777" w:rsidTr="00E070FD">
        <w:tc>
          <w:tcPr>
            <w:tcW w:w="9350" w:type="dxa"/>
          </w:tcPr>
          <w:p w14:paraId="3F3BB392" w14:textId="6B06DDEF" w:rsidR="00DA4848" w:rsidRPr="00EC4F1D" w:rsidRDefault="00DA4848" w:rsidP="009C1820">
            <w:pPr>
              <w:rPr>
                <w:b/>
                <w:bCs/>
                <w:sz w:val="20"/>
                <w:szCs w:val="20"/>
              </w:rPr>
            </w:pPr>
            <w:r w:rsidRPr="00EC4F1D">
              <w:rPr>
                <w:b/>
                <w:bCs/>
                <w:sz w:val="20"/>
                <w:szCs w:val="20"/>
              </w:rPr>
              <w:t>Week 11</w:t>
            </w:r>
            <w:r w:rsidR="001E3534">
              <w:rPr>
                <w:b/>
                <w:bCs/>
                <w:sz w:val="20"/>
                <w:szCs w:val="20"/>
              </w:rPr>
              <w:t xml:space="preserve"> – </w:t>
            </w:r>
            <w:r w:rsidR="00D56C87">
              <w:rPr>
                <w:b/>
                <w:bCs/>
                <w:sz w:val="20"/>
                <w:szCs w:val="20"/>
              </w:rPr>
              <w:t xml:space="preserve">Machine Minds </w:t>
            </w:r>
          </w:p>
          <w:p w14:paraId="625ADE55" w14:textId="612038A1" w:rsidR="00DA4848" w:rsidRDefault="00DA4848" w:rsidP="00D56C87">
            <w:pPr>
              <w:rPr>
                <w:sz w:val="20"/>
                <w:szCs w:val="20"/>
              </w:rPr>
            </w:pPr>
            <w:r w:rsidRPr="00EC4F1D">
              <w:rPr>
                <w:sz w:val="20"/>
                <w:szCs w:val="20"/>
              </w:rPr>
              <w:t xml:space="preserve">November </w:t>
            </w:r>
            <w:r w:rsidR="00300E90">
              <w:rPr>
                <w:sz w:val="20"/>
                <w:szCs w:val="20"/>
              </w:rPr>
              <w:t>1</w:t>
            </w:r>
            <w:r w:rsidRPr="00EC4F1D">
              <w:rPr>
                <w:sz w:val="20"/>
                <w:szCs w:val="20"/>
              </w:rPr>
              <w:t xml:space="preserve">: </w:t>
            </w:r>
            <w:r w:rsidR="00D56C87">
              <w:rPr>
                <w:sz w:val="20"/>
                <w:szCs w:val="20"/>
              </w:rPr>
              <w:t>Read Turing (Chalmers, 740-54)</w:t>
            </w:r>
          </w:p>
          <w:p w14:paraId="6C1B43AF" w14:textId="77777777" w:rsidR="009C1820" w:rsidRPr="00EC4F1D" w:rsidRDefault="009C1820" w:rsidP="00DA4848">
            <w:pPr>
              <w:rPr>
                <w:sz w:val="20"/>
                <w:szCs w:val="20"/>
              </w:rPr>
            </w:pPr>
          </w:p>
          <w:p w14:paraId="272FA10D" w14:textId="7145C694" w:rsidR="00D56C87" w:rsidRDefault="00DA4848" w:rsidP="00D56C87">
            <w:pPr>
              <w:rPr>
                <w:sz w:val="20"/>
                <w:szCs w:val="20"/>
              </w:rPr>
            </w:pPr>
            <w:r w:rsidRPr="00EC4F1D">
              <w:rPr>
                <w:sz w:val="20"/>
                <w:szCs w:val="20"/>
              </w:rPr>
              <w:t xml:space="preserve">November </w:t>
            </w:r>
            <w:r w:rsidR="00300E90">
              <w:rPr>
                <w:sz w:val="20"/>
                <w:szCs w:val="20"/>
              </w:rPr>
              <w:t>3</w:t>
            </w:r>
            <w:r w:rsidRPr="00EC4F1D">
              <w:rPr>
                <w:sz w:val="20"/>
                <w:szCs w:val="20"/>
              </w:rPr>
              <w:t>:</w:t>
            </w:r>
            <w:r w:rsidR="00FF2B07">
              <w:rPr>
                <w:sz w:val="20"/>
                <w:szCs w:val="20"/>
              </w:rPr>
              <w:t xml:space="preserve"> </w:t>
            </w:r>
            <w:r w:rsidR="00D56C87" w:rsidRPr="00D56C87">
              <w:rPr>
                <w:sz w:val="20"/>
                <w:szCs w:val="20"/>
                <w:highlight w:val="yellow"/>
              </w:rPr>
              <w:t>Read Chalmers (Chalmers, 766-779)</w:t>
            </w:r>
          </w:p>
          <w:p w14:paraId="1CE01EE5" w14:textId="77777777" w:rsidR="00D56C87" w:rsidRDefault="00D56C87" w:rsidP="00D56C87">
            <w:pPr>
              <w:rPr>
                <w:sz w:val="20"/>
                <w:szCs w:val="20"/>
              </w:rPr>
            </w:pPr>
          </w:p>
          <w:p w14:paraId="53105DD6" w14:textId="5D0DE5DF" w:rsidR="00FF2B07" w:rsidRPr="00EC4F1D" w:rsidRDefault="00D56C87" w:rsidP="00D56C87">
            <w:pPr>
              <w:rPr>
                <w:sz w:val="20"/>
                <w:szCs w:val="20"/>
              </w:rPr>
            </w:pPr>
            <w:r>
              <w:rPr>
                <w:sz w:val="20"/>
                <w:szCs w:val="20"/>
              </w:rPr>
              <w:t xml:space="preserve">** Supplemental Reading: </w:t>
            </w:r>
            <w:proofErr w:type="spellStart"/>
            <w:r>
              <w:rPr>
                <w:sz w:val="20"/>
                <w:szCs w:val="20"/>
              </w:rPr>
              <w:t>Floridi</w:t>
            </w:r>
            <w:proofErr w:type="spellEnd"/>
            <w:r>
              <w:rPr>
                <w:sz w:val="20"/>
                <w:szCs w:val="20"/>
              </w:rPr>
              <w:t xml:space="preserve"> (Blackboard); Breazeal (Blackboard)</w:t>
            </w:r>
          </w:p>
        </w:tc>
      </w:tr>
    </w:tbl>
    <w:p w14:paraId="5542E504" w14:textId="77777777" w:rsidR="00DA4848" w:rsidRPr="00EC4F1D" w:rsidRDefault="00DA4848" w:rsidP="00DA4848">
      <w:pPr>
        <w:rPr>
          <w:sz w:val="20"/>
          <w:szCs w:val="20"/>
        </w:rPr>
      </w:pPr>
    </w:p>
    <w:tbl>
      <w:tblPr>
        <w:tblStyle w:val="TableGrid"/>
        <w:tblW w:w="0" w:type="auto"/>
        <w:tblLook w:val="04A0" w:firstRow="1" w:lastRow="0" w:firstColumn="1" w:lastColumn="0" w:noHBand="0" w:noVBand="1"/>
      </w:tblPr>
      <w:tblGrid>
        <w:gridCol w:w="9350"/>
      </w:tblGrid>
      <w:tr w:rsidR="00DA4848" w:rsidRPr="00EC4F1D" w14:paraId="5D0472E6" w14:textId="77777777" w:rsidTr="00E070FD">
        <w:tc>
          <w:tcPr>
            <w:tcW w:w="9350" w:type="dxa"/>
          </w:tcPr>
          <w:p w14:paraId="0258A4D2" w14:textId="77B8A490" w:rsidR="00DA4848" w:rsidRPr="00EC4F1D" w:rsidRDefault="00DA4848" w:rsidP="00D70A0E">
            <w:pPr>
              <w:rPr>
                <w:b/>
                <w:bCs/>
                <w:sz w:val="20"/>
                <w:szCs w:val="20"/>
              </w:rPr>
            </w:pPr>
            <w:r w:rsidRPr="00EC4F1D">
              <w:rPr>
                <w:b/>
                <w:bCs/>
                <w:sz w:val="20"/>
                <w:szCs w:val="20"/>
              </w:rPr>
              <w:t>Week 12</w:t>
            </w:r>
            <w:r w:rsidR="001E3534">
              <w:rPr>
                <w:b/>
                <w:bCs/>
                <w:sz w:val="20"/>
                <w:szCs w:val="20"/>
              </w:rPr>
              <w:t xml:space="preserve"> – </w:t>
            </w:r>
            <w:r w:rsidR="00D70A0E">
              <w:rPr>
                <w:b/>
                <w:bCs/>
                <w:sz w:val="20"/>
                <w:szCs w:val="20"/>
              </w:rPr>
              <w:t xml:space="preserve">Non-Human Animal Minds </w:t>
            </w:r>
          </w:p>
          <w:p w14:paraId="1DB7C204" w14:textId="79387C11" w:rsidR="00DA4848" w:rsidRPr="00EC4F1D" w:rsidRDefault="00DA4848" w:rsidP="00D56C87">
            <w:pPr>
              <w:rPr>
                <w:sz w:val="20"/>
                <w:szCs w:val="20"/>
              </w:rPr>
            </w:pPr>
            <w:r w:rsidRPr="00EC4F1D">
              <w:rPr>
                <w:sz w:val="20"/>
                <w:szCs w:val="20"/>
              </w:rPr>
              <w:t xml:space="preserve">November </w:t>
            </w:r>
            <w:r w:rsidR="00300E90">
              <w:rPr>
                <w:sz w:val="20"/>
                <w:szCs w:val="20"/>
              </w:rPr>
              <w:t>8</w:t>
            </w:r>
            <w:r w:rsidRPr="00EC4F1D">
              <w:rPr>
                <w:sz w:val="20"/>
                <w:szCs w:val="20"/>
              </w:rPr>
              <w:t xml:space="preserve">: </w:t>
            </w:r>
            <w:r w:rsidR="005133E9">
              <w:rPr>
                <w:sz w:val="20"/>
                <w:szCs w:val="20"/>
              </w:rPr>
              <w:t xml:space="preserve">Read: </w:t>
            </w:r>
            <w:r w:rsidR="004C7693">
              <w:rPr>
                <w:sz w:val="20"/>
                <w:szCs w:val="20"/>
              </w:rPr>
              <w:t>Dennett (Blackboard)</w:t>
            </w:r>
            <w:r w:rsidR="00117007">
              <w:rPr>
                <w:sz w:val="20"/>
                <w:szCs w:val="20"/>
              </w:rPr>
              <w:t xml:space="preserve"> </w:t>
            </w:r>
          </w:p>
          <w:p w14:paraId="2D9AD000" w14:textId="77777777" w:rsidR="00DA4848" w:rsidRPr="00EC4F1D" w:rsidRDefault="00DA4848" w:rsidP="00E070FD">
            <w:pPr>
              <w:rPr>
                <w:sz w:val="20"/>
                <w:szCs w:val="20"/>
              </w:rPr>
            </w:pPr>
          </w:p>
          <w:p w14:paraId="22A55C0A" w14:textId="13D799F4" w:rsidR="00D56C87" w:rsidRDefault="00DA4848" w:rsidP="00DA4848">
            <w:pPr>
              <w:rPr>
                <w:sz w:val="20"/>
                <w:szCs w:val="20"/>
              </w:rPr>
            </w:pPr>
            <w:r w:rsidRPr="00EC4F1D">
              <w:rPr>
                <w:sz w:val="20"/>
                <w:szCs w:val="20"/>
              </w:rPr>
              <w:t>November 1</w:t>
            </w:r>
            <w:r w:rsidR="00300E90">
              <w:rPr>
                <w:sz w:val="20"/>
                <w:szCs w:val="20"/>
              </w:rPr>
              <w:t>0</w:t>
            </w:r>
            <w:r w:rsidRPr="00EC4F1D">
              <w:rPr>
                <w:sz w:val="20"/>
                <w:szCs w:val="20"/>
              </w:rPr>
              <w:t xml:space="preserve">: </w:t>
            </w:r>
            <w:r w:rsidR="004C7693" w:rsidRPr="00D56C87">
              <w:rPr>
                <w:sz w:val="20"/>
                <w:szCs w:val="20"/>
                <w:highlight w:val="yellow"/>
              </w:rPr>
              <w:t>Read</w:t>
            </w:r>
            <w:r w:rsidR="00D56C87" w:rsidRPr="00D56C87">
              <w:rPr>
                <w:sz w:val="20"/>
                <w:szCs w:val="20"/>
                <w:highlight w:val="yellow"/>
              </w:rPr>
              <w:t xml:space="preserve"> Godfrey-Smith (Chalmers, 668-72)</w:t>
            </w:r>
          </w:p>
          <w:p w14:paraId="7B837930" w14:textId="77777777" w:rsidR="00D56C87" w:rsidRDefault="00D56C87" w:rsidP="00DA4848">
            <w:pPr>
              <w:rPr>
                <w:sz w:val="20"/>
                <w:szCs w:val="20"/>
              </w:rPr>
            </w:pPr>
          </w:p>
          <w:p w14:paraId="1149F338" w14:textId="1D42C8BC" w:rsidR="00DA4848" w:rsidRPr="00264DD9" w:rsidRDefault="004C7693" w:rsidP="00D56C87">
            <w:pPr>
              <w:rPr>
                <w:sz w:val="20"/>
                <w:szCs w:val="20"/>
              </w:rPr>
            </w:pPr>
            <w:r>
              <w:rPr>
                <w:sz w:val="20"/>
                <w:szCs w:val="20"/>
              </w:rPr>
              <w:t xml:space="preserve"> </w:t>
            </w:r>
            <w:r w:rsidR="00264DD9">
              <w:rPr>
                <w:sz w:val="20"/>
                <w:szCs w:val="20"/>
              </w:rPr>
              <w:t>**</w:t>
            </w:r>
            <w:r w:rsidR="00D56C87">
              <w:rPr>
                <w:sz w:val="20"/>
                <w:szCs w:val="20"/>
              </w:rPr>
              <w:t xml:space="preserve">Supplemental </w:t>
            </w:r>
            <w:r w:rsidR="00264DD9">
              <w:rPr>
                <w:sz w:val="20"/>
                <w:szCs w:val="20"/>
              </w:rPr>
              <w:t xml:space="preserve">Reading: </w:t>
            </w:r>
            <w:r w:rsidR="00D56C87">
              <w:rPr>
                <w:sz w:val="20"/>
                <w:szCs w:val="20"/>
              </w:rPr>
              <w:t xml:space="preserve">Andrews &amp; Huss, </w:t>
            </w:r>
            <w:r w:rsidR="00264DD9">
              <w:rPr>
                <w:sz w:val="20"/>
                <w:szCs w:val="20"/>
              </w:rPr>
              <w:t xml:space="preserve">Allen &amp; </w:t>
            </w:r>
            <w:proofErr w:type="spellStart"/>
            <w:r w:rsidR="00264DD9">
              <w:rPr>
                <w:sz w:val="20"/>
                <w:szCs w:val="20"/>
              </w:rPr>
              <w:t>Bekoff</w:t>
            </w:r>
            <w:proofErr w:type="spellEnd"/>
            <w:r w:rsidR="008B0392">
              <w:rPr>
                <w:sz w:val="20"/>
                <w:szCs w:val="20"/>
              </w:rPr>
              <w:t xml:space="preserve"> (Blackboa</w:t>
            </w:r>
            <w:r w:rsidR="00D56C87">
              <w:rPr>
                <w:sz w:val="20"/>
                <w:szCs w:val="20"/>
              </w:rPr>
              <w:t>r</w:t>
            </w:r>
            <w:r w:rsidR="008B0392">
              <w:rPr>
                <w:sz w:val="20"/>
                <w:szCs w:val="20"/>
              </w:rPr>
              <w:t>d</w:t>
            </w:r>
            <w:r w:rsidR="00D56C87">
              <w:rPr>
                <w:sz w:val="20"/>
                <w:szCs w:val="20"/>
              </w:rPr>
              <w:t>)</w:t>
            </w:r>
            <w:r w:rsidR="008B0392">
              <w:rPr>
                <w:sz w:val="20"/>
                <w:szCs w:val="20"/>
              </w:rPr>
              <w:t xml:space="preserve"> </w:t>
            </w:r>
          </w:p>
        </w:tc>
      </w:tr>
    </w:tbl>
    <w:p w14:paraId="36ADAD09" w14:textId="77777777" w:rsidR="00DA4848" w:rsidRPr="00EC4F1D" w:rsidRDefault="00DA4848" w:rsidP="00DA4848">
      <w:pPr>
        <w:rPr>
          <w:sz w:val="20"/>
          <w:szCs w:val="20"/>
        </w:rPr>
      </w:pPr>
    </w:p>
    <w:tbl>
      <w:tblPr>
        <w:tblStyle w:val="TableGrid"/>
        <w:tblW w:w="0" w:type="auto"/>
        <w:tblLook w:val="04A0" w:firstRow="1" w:lastRow="0" w:firstColumn="1" w:lastColumn="0" w:noHBand="0" w:noVBand="1"/>
      </w:tblPr>
      <w:tblGrid>
        <w:gridCol w:w="9350"/>
      </w:tblGrid>
      <w:tr w:rsidR="00DA4848" w:rsidRPr="00EC4F1D" w14:paraId="2E2D60B4" w14:textId="77777777" w:rsidTr="00FF2B07">
        <w:trPr>
          <w:trHeight w:val="1232"/>
        </w:trPr>
        <w:tc>
          <w:tcPr>
            <w:tcW w:w="9350" w:type="dxa"/>
          </w:tcPr>
          <w:p w14:paraId="5FBBD595" w14:textId="43FD9EEE" w:rsidR="00D56C87" w:rsidRPr="00EC4F1D" w:rsidRDefault="00DA4848" w:rsidP="00D56C87">
            <w:pPr>
              <w:rPr>
                <w:b/>
                <w:bCs/>
                <w:sz w:val="20"/>
                <w:szCs w:val="20"/>
              </w:rPr>
            </w:pPr>
            <w:r w:rsidRPr="00EC4F1D">
              <w:rPr>
                <w:b/>
                <w:bCs/>
                <w:sz w:val="20"/>
                <w:szCs w:val="20"/>
              </w:rPr>
              <w:t>Week 13</w:t>
            </w:r>
            <w:r w:rsidR="001E3534">
              <w:rPr>
                <w:b/>
                <w:bCs/>
                <w:sz w:val="20"/>
                <w:szCs w:val="20"/>
              </w:rPr>
              <w:t xml:space="preserve"> – </w:t>
            </w:r>
            <w:r w:rsidR="00D70A0E">
              <w:rPr>
                <w:b/>
                <w:bCs/>
                <w:sz w:val="20"/>
                <w:szCs w:val="20"/>
              </w:rPr>
              <w:t xml:space="preserve">Non-Human Animal Minds, cont’d </w:t>
            </w:r>
          </w:p>
          <w:p w14:paraId="431E1426" w14:textId="7CFC5845" w:rsidR="00DA4848" w:rsidRPr="00EC4F1D" w:rsidRDefault="00DA4848" w:rsidP="00D56C87">
            <w:pPr>
              <w:rPr>
                <w:b/>
                <w:bCs/>
                <w:sz w:val="20"/>
                <w:szCs w:val="20"/>
              </w:rPr>
            </w:pPr>
            <w:r w:rsidRPr="00EC4F1D">
              <w:rPr>
                <w:sz w:val="20"/>
                <w:szCs w:val="20"/>
              </w:rPr>
              <w:t>November 1</w:t>
            </w:r>
            <w:r w:rsidR="00300E90">
              <w:rPr>
                <w:sz w:val="20"/>
                <w:szCs w:val="20"/>
              </w:rPr>
              <w:t>5</w:t>
            </w:r>
            <w:r w:rsidRPr="00EC4F1D">
              <w:rPr>
                <w:sz w:val="20"/>
                <w:szCs w:val="20"/>
              </w:rPr>
              <w:t xml:space="preserve">: </w:t>
            </w:r>
            <w:r w:rsidR="004C7693">
              <w:rPr>
                <w:sz w:val="20"/>
                <w:szCs w:val="20"/>
              </w:rPr>
              <w:t xml:space="preserve">Read </w:t>
            </w:r>
            <w:proofErr w:type="spellStart"/>
            <w:r w:rsidR="004C7693">
              <w:rPr>
                <w:sz w:val="20"/>
                <w:szCs w:val="20"/>
              </w:rPr>
              <w:t>Pilley</w:t>
            </w:r>
            <w:proofErr w:type="spellEnd"/>
            <w:r w:rsidR="004C7693">
              <w:rPr>
                <w:sz w:val="20"/>
                <w:szCs w:val="20"/>
              </w:rPr>
              <w:t xml:space="preserve"> &amp; Reid (Blackboard)</w:t>
            </w:r>
            <w:r w:rsidR="00117007">
              <w:rPr>
                <w:sz w:val="20"/>
                <w:szCs w:val="20"/>
              </w:rPr>
              <w:t xml:space="preserve"> </w:t>
            </w:r>
          </w:p>
          <w:p w14:paraId="73F7CA05" w14:textId="77777777" w:rsidR="00DA4848" w:rsidRPr="00EC4F1D" w:rsidRDefault="00DA4848" w:rsidP="00E070FD">
            <w:pPr>
              <w:rPr>
                <w:sz w:val="20"/>
                <w:szCs w:val="20"/>
              </w:rPr>
            </w:pPr>
          </w:p>
          <w:p w14:paraId="1EFC58F3" w14:textId="5862047A" w:rsidR="00DA4848" w:rsidRDefault="00DA4848" w:rsidP="00264DD9">
            <w:pPr>
              <w:rPr>
                <w:sz w:val="20"/>
                <w:szCs w:val="20"/>
              </w:rPr>
            </w:pPr>
            <w:r w:rsidRPr="00EC4F1D">
              <w:rPr>
                <w:sz w:val="20"/>
                <w:szCs w:val="20"/>
              </w:rPr>
              <w:t>November 1</w:t>
            </w:r>
            <w:r w:rsidR="00300E90">
              <w:rPr>
                <w:sz w:val="20"/>
                <w:szCs w:val="20"/>
              </w:rPr>
              <w:t>7</w:t>
            </w:r>
            <w:r w:rsidRPr="00EC4F1D">
              <w:rPr>
                <w:sz w:val="20"/>
                <w:szCs w:val="20"/>
              </w:rPr>
              <w:t xml:space="preserve">: </w:t>
            </w:r>
            <w:r w:rsidR="00264DD9" w:rsidRPr="00D56C87">
              <w:rPr>
                <w:sz w:val="20"/>
                <w:szCs w:val="20"/>
                <w:highlight w:val="yellow"/>
              </w:rPr>
              <w:t>Read</w:t>
            </w:r>
            <w:r w:rsidR="00D56C87" w:rsidRPr="00D56C87">
              <w:rPr>
                <w:sz w:val="20"/>
                <w:szCs w:val="20"/>
                <w:highlight w:val="yellow"/>
              </w:rPr>
              <w:t xml:space="preserve"> Merritt (Blackboard)</w:t>
            </w:r>
          </w:p>
          <w:p w14:paraId="4352B195" w14:textId="77777777" w:rsidR="00D56C87" w:rsidRDefault="00D56C87" w:rsidP="00264DD9">
            <w:pPr>
              <w:rPr>
                <w:sz w:val="20"/>
                <w:szCs w:val="20"/>
              </w:rPr>
            </w:pPr>
          </w:p>
          <w:p w14:paraId="040E2851" w14:textId="3AB06F77" w:rsidR="00FF2B07" w:rsidRPr="00EC4F1D" w:rsidRDefault="00264DD9" w:rsidP="00FF2B07">
            <w:pPr>
              <w:rPr>
                <w:sz w:val="20"/>
                <w:szCs w:val="20"/>
              </w:rPr>
            </w:pPr>
            <w:r>
              <w:rPr>
                <w:sz w:val="20"/>
                <w:szCs w:val="20"/>
              </w:rPr>
              <w:t>**</w:t>
            </w:r>
            <w:r w:rsidR="00D56C87">
              <w:rPr>
                <w:sz w:val="20"/>
                <w:szCs w:val="20"/>
              </w:rPr>
              <w:t xml:space="preserve"> Supplemental</w:t>
            </w:r>
            <w:r>
              <w:rPr>
                <w:sz w:val="20"/>
                <w:szCs w:val="20"/>
              </w:rPr>
              <w:t xml:space="preserve"> Reading: </w:t>
            </w:r>
            <w:r w:rsidR="00D56C87">
              <w:rPr>
                <w:sz w:val="20"/>
                <w:szCs w:val="20"/>
              </w:rPr>
              <w:t xml:space="preserve">Carruthers, </w:t>
            </w:r>
            <w:r>
              <w:rPr>
                <w:sz w:val="20"/>
                <w:szCs w:val="20"/>
              </w:rPr>
              <w:t>Horowitz</w:t>
            </w:r>
            <w:r w:rsidR="00D56C87">
              <w:rPr>
                <w:sz w:val="20"/>
                <w:szCs w:val="20"/>
              </w:rPr>
              <w:t xml:space="preserve">, Brown, </w:t>
            </w:r>
            <w:proofErr w:type="spellStart"/>
            <w:r w:rsidR="00D56C87">
              <w:rPr>
                <w:sz w:val="20"/>
                <w:szCs w:val="20"/>
              </w:rPr>
              <w:t>Marzluff</w:t>
            </w:r>
            <w:proofErr w:type="spellEnd"/>
            <w:r w:rsidR="008B0392">
              <w:rPr>
                <w:sz w:val="20"/>
                <w:szCs w:val="20"/>
              </w:rPr>
              <w:t xml:space="preserve"> (Blackboard</w:t>
            </w:r>
            <w:r w:rsidR="00D56C87">
              <w:rPr>
                <w:sz w:val="20"/>
                <w:szCs w:val="20"/>
              </w:rPr>
              <w:t>)</w:t>
            </w:r>
          </w:p>
        </w:tc>
      </w:tr>
    </w:tbl>
    <w:p w14:paraId="1DE3927D" w14:textId="77777777" w:rsidR="00DA4848" w:rsidRPr="00EC4F1D" w:rsidRDefault="00DA4848" w:rsidP="00DA4848">
      <w:pPr>
        <w:rPr>
          <w:sz w:val="20"/>
          <w:szCs w:val="20"/>
        </w:rPr>
      </w:pPr>
    </w:p>
    <w:tbl>
      <w:tblPr>
        <w:tblStyle w:val="TableGrid"/>
        <w:tblW w:w="0" w:type="auto"/>
        <w:tblLook w:val="04A0" w:firstRow="1" w:lastRow="0" w:firstColumn="1" w:lastColumn="0" w:noHBand="0" w:noVBand="1"/>
      </w:tblPr>
      <w:tblGrid>
        <w:gridCol w:w="9350"/>
      </w:tblGrid>
      <w:tr w:rsidR="00DA4848" w:rsidRPr="00EC4F1D" w14:paraId="60A6BA9D" w14:textId="77777777" w:rsidTr="00E070FD">
        <w:tc>
          <w:tcPr>
            <w:tcW w:w="9350" w:type="dxa"/>
          </w:tcPr>
          <w:p w14:paraId="3E77889F" w14:textId="51B9ADE8" w:rsidR="00DA4848" w:rsidRDefault="00DA4848" w:rsidP="00E070FD">
            <w:pPr>
              <w:rPr>
                <w:b/>
                <w:bCs/>
                <w:sz w:val="20"/>
                <w:szCs w:val="20"/>
              </w:rPr>
            </w:pPr>
            <w:r w:rsidRPr="00EC4F1D">
              <w:rPr>
                <w:b/>
                <w:bCs/>
                <w:sz w:val="20"/>
                <w:szCs w:val="20"/>
              </w:rPr>
              <w:t>Week 14</w:t>
            </w:r>
            <w:r w:rsidR="00300E90">
              <w:rPr>
                <w:b/>
                <w:bCs/>
                <w:sz w:val="20"/>
                <w:szCs w:val="20"/>
              </w:rPr>
              <w:t xml:space="preserve"> </w:t>
            </w:r>
            <w:r w:rsidR="00D56C87">
              <w:rPr>
                <w:b/>
                <w:bCs/>
                <w:sz w:val="20"/>
                <w:szCs w:val="20"/>
              </w:rPr>
              <w:t xml:space="preserve">– </w:t>
            </w:r>
            <w:r w:rsidR="00300E90">
              <w:rPr>
                <w:b/>
                <w:bCs/>
                <w:sz w:val="20"/>
                <w:szCs w:val="20"/>
              </w:rPr>
              <w:t>NOV 22</w:t>
            </w:r>
            <w:r w:rsidR="00D56C87">
              <w:rPr>
                <w:b/>
                <w:bCs/>
                <w:sz w:val="20"/>
                <w:szCs w:val="20"/>
              </w:rPr>
              <w:t xml:space="preserve"> and</w:t>
            </w:r>
            <w:r w:rsidR="00300E90">
              <w:rPr>
                <w:b/>
                <w:bCs/>
                <w:sz w:val="20"/>
                <w:szCs w:val="20"/>
              </w:rPr>
              <w:t xml:space="preserve"> 24</w:t>
            </w:r>
          </w:p>
          <w:p w14:paraId="5B517E9D" w14:textId="77777777" w:rsidR="00D56C87" w:rsidRPr="00EC4F1D" w:rsidRDefault="00D56C87" w:rsidP="00E070FD">
            <w:pPr>
              <w:rPr>
                <w:b/>
                <w:bCs/>
                <w:sz w:val="20"/>
                <w:szCs w:val="20"/>
              </w:rPr>
            </w:pPr>
          </w:p>
          <w:p w14:paraId="0AC112FB" w14:textId="77777777" w:rsidR="00DA4848" w:rsidRPr="00EC4F1D" w:rsidRDefault="00DA4848" w:rsidP="00E070FD">
            <w:pPr>
              <w:rPr>
                <w:sz w:val="20"/>
                <w:szCs w:val="20"/>
              </w:rPr>
            </w:pPr>
            <w:r w:rsidRPr="00EC4F1D">
              <w:rPr>
                <w:sz w:val="20"/>
                <w:szCs w:val="20"/>
              </w:rPr>
              <w:t xml:space="preserve">Thanksgiving Break – No Class </w:t>
            </w:r>
          </w:p>
          <w:p w14:paraId="2C01EB25" w14:textId="77777777" w:rsidR="00DA4848" w:rsidRPr="00EC4F1D" w:rsidRDefault="00DA4848" w:rsidP="00E070FD">
            <w:pPr>
              <w:rPr>
                <w:sz w:val="20"/>
                <w:szCs w:val="20"/>
              </w:rPr>
            </w:pPr>
          </w:p>
        </w:tc>
      </w:tr>
    </w:tbl>
    <w:p w14:paraId="77520082" w14:textId="77777777" w:rsidR="00DA4848" w:rsidRPr="00EC4F1D" w:rsidRDefault="00DA4848" w:rsidP="00DA4848">
      <w:pPr>
        <w:rPr>
          <w:sz w:val="20"/>
          <w:szCs w:val="20"/>
        </w:rPr>
      </w:pPr>
    </w:p>
    <w:tbl>
      <w:tblPr>
        <w:tblStyle w:val="TableGrid"/>
        <w:tblW w:w="0" w:type="auto"/>
        <w:tblLook w:val="04A0" w:firstRow="1" w:lastRow="0" w:firstColumn="1" w:lastColumn="0" w:noHBand="0" w:noVBand="1"/>
      </w:tblPr>
      <w:tblGrid>
        <w:gridCol w:w="9350"/>
      </w:tblGrid>
      <w:tr w:rsidR="00DA4848" w:rsidRPr="00EC4F1D" w14:paraId="6F89EAD0" w14:textId="77777777" w:rsidTr="00E070FD">
        <w:tc>
          <w:tcPr>
            <w:tcW w:w="9350" w:type="dxa"/>
          </w:tcPr>
          <w:p w14:paraId="1FEA7583" w14:textId="1ACA70DD" w:rsidR="00DA4848" w:rsidRPr="00EC4F1D" w:rsidRDefault="00DA4848" w:rsidP="001E3534">
            <w:pPr>
              <w:rPr>
                <w:b/>
                <w:bCs/>
                <w:sz w:val="20"/>
                <w:szCs w:val="20"/>
              </w:rPr>
            </w:pPr>
            <w:r w:rsidRPr="00EC4F1D">
              <w:rPr>
                <w:b/>
                <w:bCs/>
                <w:sz w:val="20"/>
                <w:szCs w:val="20"/>
              </w:rPr>
              <w:t>Week 15</w:t>
            </w:r>
            <w:r w:rsidR="001E3534">
              <w:rPr>
                <w:b/>
                <w:bCs/>
                <w:sz w:val="20"/>
                <w:szCs w:val="20"/>
              </w:rPr>
              <w:t xml:space="preserve"> – </w:t>
            </w:r>
            <w:r w:rsidR="00D56C87">
              <w:rPr>
                <w:b/>
                <w:bCs/>
                <w:sz w:val="20"/>
                <w:szCs w:val="20"/>
              </w:rPr>
              <w:t xml:space="preserve">Mind and Self </w:t>
            </w:r>
          </w:p>
          <w:p w14:paraId="3766FEE1" w14:textId="1F317BE4" w:rsidR="00DA4848" w:rsidRDefault="00300E90" w:rsidP="00D56C87">
            <w:pPr>
              <w:rPr>
                <w:sz w:val="20"/>
                <w:szCs w:val="20"/>
              </w:rPr>
            </w:pPr>
            <w:r>
              <w:rPr>
                <w:sz w:val="20"/>
                <w:szCs w:val="20"/>
              </w:rPr>
              <w:t>November 29</w:t>
            </w:r>
            <w:r w:rsidR="00DA4848" w:rsidRPr="00EC4F1D">
              <w:rPr>
                <w:sz w:val="20"/>
                <w:szCs w:val="20"/>
              </w:rPr>
              <w:t xml:space="preserve">: </w:t>
            </w:r>
            <w:r w:rsidR="004653DC">
              <w:rPr>
                <w:sz w:val="20"/>
                <w:szCs w:val="20"/>
              </w:rPr>
              <w:t>Read</w:t>
            </w:r>
            <w:r w:rsidR="00D56C87">
              <w:rPr>
                <w:sz w:val="20"/>
                <w:szCs w:val="20"/>
              </w:rPr>
              <w:t xml:space="preserve"> Parfit (Chalmers, 699-705)</w:t>
            </w:r>
          </w:p>
          <w:p w14:paraId="1BE949B8" w14:textId="77777777" w:rsidR="008B0392" w:rsidRPr="00EC4F1D" w:rsidRDefault="008B0392" w:rsidP="00DA4848">
            <w:pPr>
              <w:rPr>
                <w:sz w:val="20"/>
                <w:szCs w:val="20"/>
              </w:rPr>
            </w:pPr>
          </w:p>
          <w:p w14:paraId="16621ADC" w14:textId="33DCE174" w:rsidR="00D56C87" w:rsidRPr="00EC4F1D" w:rsidRDefault="00DA4848" w:rsidP="00D56C87">
            <w:pPr>
              <w:rPr>
                <w:b/>
                <w:bCs/>
                <w:sz w:val="20"/>
                <w:szCs w:val="20"/>
              </w:rPr>
            </w:pPr>
            <w:r w:rsidRPr="00EC4F1D">
              <w:rPr>
                <w:sz w:val="20"/>
                <w:szCs w:val="20"/>
              </w:rPr>
              <w:t xml:space="preserve">December </w:t>
            </w:r>
            <w:r w:rsidR="00300E90">
              <w:rPr>
                <w:sz w:val="20"/>
                <w:szCs w:val="20"/>
              </w:rPr>
              <w:t>1</w:t>
            </w:r>
            <w:r w:rsidRPr="00EC4F1D">
              <w:rPr>
                <w:sz w:val="20"/>
                <w:szCs w:val="20"/>
              </w:rPr>
              <w:t xml:space="preserve">: </w:t>
            </w:r>
            <w:r w:rsidR="008B0392" w:rsidRPr="00D56C87">
              <w:rPr>
                <w:sz w:val="20"/>
                <w:szCs w:val="20"/>
                <w:highlight w:val="yellow"/>
              </w:rPr>
              <w:t>Read</w:t>
            </w:r>
            <w:r w:rsidR="00D56C87" w:rsidRPr="00D56C87">
              <w:rPr>
                <w:sz w:val="20"/>
                <w:szCs w:val="20"/>
                <w:highlight w:val="yellow"/>
              </w:rPr>
              <w:t xml:space="preserve"> Appiah (Chalmers, 722-736)</w:t>
            </w:r>
          </w:p>
          <w:p w14:paraId="054CD4BC" w14:textId="3C5F5448" w:rsidR="00FF2B07" w:rsidRPr="00EC4F1D" w:rsidRDefault="00FF2B07" w:rsidP="00FF2B07">
            <w:pPr>
              <w:jc w:val="center"/>
              <w:rPr>
                <w:b/>
                <w:bCs/>
                <w:sz w:val="20"/>
                <w:szCs w:val="20"/>
              </w:rPr>
            </w:pPr>
          </w:p>
        </w:tc>
      </w:tr>
    </w:tbl>
    <w:p w14:paraId="19022873" w14:textId="77777777" w:rsidR="00DA4848" w:rsidRPr="00EC4F1D" w:rsidRDefault="00DA4848" w:rsidP="00DA4848">
      <w:pPr>
        <w:rPr>
          <w:sz w:val="20"/>
          <w:szCs w:val="20"/>
        </w:rPr>
      </w:pPr>
    </w:p>
    <w:tbl>
      <w:tblPr>
        <w:tblStyle w:val="TableGrid"/>
        <w:tblW w:w="0" w:type="auto"/>
        <w:tblLook w:val="04A0" w:firstRow="1" w:lastRow="0" w:firstColumn="1" w:lastColumn="0" w:noHBand="0" w:noVBand="1"/>
      </w:tblPr>
      <w:tblGrid>
        <w:gridCol w:w="9350"/>
      </w:tblGrid>
      <w:tr w:rsidR="00DA4848" w:rsidRPr="00D56C87" w14:paraId="7C68A344" w14:textId="77777777" w:rsidTr="00FF2B07">
        <w:trPr>
          <w:trHeight w:val="899"/>
        </w:trPr>
        <w:tc>
          <w:tcPr>
            <w:tcW w:w="9350" w:type="dxa"/>
          </w:tcPr>
          <w:p w14:paraId="02D67310" w14:textId="665BECE5" w:rsidR="00DA4848" w:rsidRPr="00EC4F1D" w:rsidRDefault="00DA4848" w:rsidP="009C102A">
            <w:pPr>
              <w:rPr>
                <w:b/>
                <w:bCs/>
                <w:sz w:val="20"/>
                <w:szCs w:val="20"/>
              </w:rPr>
            </w:pPr>
            <w:r w:rsidRPr="00EC4F1D">
              <w:rPr>
                <w:b/>
                <w:bCs/>
                <w:sz w:val="20"/>
                <w:szCs w:val="20"/>
              </w:rPr>
              <w:t>Week 16</w:t>
            </w:r>
            <w:r w:rsidR="001E3534">
              <w:rPr>
                <w:b/>
                <w:bCs/>
                <w:sz w:val="20"/>
                <w:szCs w:val="20"/>
              </w:rPr>
              <w:t xml:space="preserve"> – </w:t>
            </w:r>
            <w:r w:rsidR="00D56C87">
              <w:rPr>
                <w:b/>
                <w:bCs/>
                <w:sz w:val="20"/>
                <w:szCs w:val="20"/>
              </w:rPr>
              <w:t xml:space="preserve">Mind and Self, cont’d </w:t>
            </w:r>
          </w:p>
          <w:p w14:paraId="0194A746" w14:textId="77777777" w:rsidR="00DA4848" w:rsidRDefault="00DA4848" w:rsidP="00D56C87">
            <w:pPr>
              <w:rPr>
                <w:sz w:val="20"/>
                <w:szCs w:val="20"/>
              </w:rPr>
            </w:pPr>
            <w:r w:rsidRPr="00EC4F1D">
              <w:rPr>
                <w:sz w:val="20"/>
                <w:szCs w:val="20"/>
              </w:rPr>
              <w:t xml:space="preserve">December </w:t>
            </w:r>
            <w:r w:rsidR="00300E90">
              <w:rPr>
                <w:sz w:val="20"/>
                <w:szCs w:val="20"/>
              </w:rPr>
              <w:t>6</w:t>
            </w:r>
            <w:r w:rsidRPr="00EC4F1D">
              <w:rPr>
                <w:sz w:val="20"/>
                <w:szCs w:val="20"/>
              </w:rPr>
              <w:t xml:space="preserve">: </w:t>
            </w:r>
            <w:r w:rsidR="00EE6A88" w:rsidRPr="00D56C87">
              <w:rPr>
                <w:sz w:val="20"/>
                <w:szCs w:val="20"/>
                <w:highlight w:val="yellow"/>
              </w:rPr>
              <w:t>Read</w:t>
            </w:r>
            <w:r w:rsidR="00D56C87" w:rsidRPr="00D56C87">
              <w:rPr>
                <w:sz w:val="20"/>
                <w:szCs w:val="20"/>
                <w:highlight w:val="yellow"/>
              </w:rPr>
              <w:t xml:space="preserve"> James (Chalmers, 711-721)</w:t>
            </w:r>
          </w:p>
          <w:p w14:paraId="76ECA569" w14:textId="77777777" w:rsidR="00D56C87" w:rsidRDefault="00D56C87" w:rsidP="00D56C87">
            <w:pPr>
              <w:rPr>
                <w:sz w:val="20"/>
                <w:szCs w:val="20"/>
              </w:rPr>
            </w:pPr>
          </w:p>
          <w:p w14:paraId="74BC71DA" w14:textId="1762A0E5" w:rsidR="00D56C87" w:rsidRPr="00D56C87" w:rsidRDefault="00D56C87" w:rsidP="00D56C87">
            <w:pPr>
              <w:rPr>
                <w:sz w:val="20"/>
                <w:szCs w:val="20"/>
              </w:rPr>
            </w:pPr>
            <w:r w:rsidRPr="00D56C87">
              <w:rPr>
                <w:sz w:val="20"/>
                <w:szCs w:val="20"/>
                <w:highlight w:val="yellow"/>
              </w:rPr>
              <w:t>***Response Paper #3 due (Chalmers, Godfrey-Smith, Merritt, Appiah, or James)</w:t>
            </w:r>
            <w:r>
              <w:rPr>
                <w:sz w:val="20"/>
                <w:szCs w:val="20"/>
              </w:rPr>
              <w:t xml:space="preserve"> </w:t>
            </w:r>
          </w:p>
        </w:tc>
      </w:tr>
    </w:tbl>
    <w:p w14:paraId="4FFA6850" w14:textId="77777777" w:rsidR="00DA4848" w:rsidRPr="00D56C87" w:rsidRDefault="00DA4848"/>
    <w:p w14:paraId="5480A0A0" w14:textId="77777777" w:rsidR="00DA4848" w:rsidRPr="00D56C87" w:rsidRDefault="00DA4848"/>
    <w:p w14:paraId="659EF29D" w14:textId="172E446B" w:rsidR="00DA4848" w:rsidRPr="00D56C87" w:rsidRDefault="00374CA2">
      <w:pPr>
        <w:rPr>
          <w:b/>
          <w:bCs/>
          <w:shd w:val="clear" w:color="auto" w:fill="FF85FF"/>
        </w:rPr>
      </w:pPr>
      <w:r w:rsidRPr="00D56C87">
        <w:rPr>
          <w:b/>
          <w:bCs/>
          <w:highlight w:val="magenta"/>
          <w:shd w:val="clear" w:color="auto" w:fill="FF85FF"/>
        </w:rPr>
        <w:t>Second Long Paper Du</w:t>
      </w:r>
      <w:r w:rsidR="00E22301" w:rsidRPr="00D56C87">
        <w:rPr>
          <w:b/>
          <w:bCs/>
          <w:highlight w:val="magenta"/>
          <w:shd w:val="clear" w:color="auto" w:fill="FF85FF"/>
        </w:rPr>
        <w:t>e During Final Exam Window (Date TBD</w:t>
      </w:r>
      <w:r w:rsidRPr="00D56C87">
        <w:rPr>
          <w:b/>
          <w:bCs/>
          <w:highlight w:val="magenta"/>
          <w:shd w:val="clear" w:color="auto" w:fill="FF85FF"/>
        </w:rPr>
        <w:t>)</w:t>
      </w:r>
    </w:p>
    <w:p w14:paraId="1DCE5EBC" w14:textId="77777777" w:rsidR="00DA4848" w:rsidRDefault="00DA4848"/>
    <w:p w14:paraId="796E684A" w14:textId="77777777" w:rsidR="00077326" w:rsidRPr="00EE3AC6" w:rsidRDefault="00077326" w:rsidP="00077326">
      <w:pPr>
        <w:rPr>
          <w:rFonts w:asciiTheme="majorBidi" w:hAnsiTheme="majorBidi" w:cstheme="majorBidi"/>
          <w:b/>
          <w:sz w:val="20"/>
          <w:szCs w:val="20"/>
          <w:u w:val="single"/>
        </w:rPr>
      </w:pPr>
      <w:r w:rsidRPr="00EE3AC6">
        <w:rPr>
          <w:rFonts w:asciiTheme="majorBidi" w:hAnsiTheme="majorBidi" w:cstheme="majorBidi"/>
          <w:b/>
          <w:sz w:val="20"/>
          <w:szCs w:val="20"/>
          <w:u w:val="single"/>
        </w:rPr>
        <w:t>The “Fine Print”</w:t>
      </w:r>
    </w:p>
    <w:p w14:paraId="1BA3D246" w14:textId="77777777" w:rsidR="00077326" w:rsidRPr="00EE3AC6" w:rsidRDefault="00077326" w:rsidP="00077326">
      <w:pPr>
        <w:rPr>
          <w:rFonts w:asciiTheme="majorBidi" w:hAnsiTheme="majorBidi" w:cstheme="majorBidi"/>
          <w:sz w:val="20"/>
          <w:szCs w:val="20"/>
        </w:rPr>
      </w:pPr>
      <w:r w:rsidRPr="00EE3AC6">
        <w:rPr>
          <w:rFonts w:asciiTheme="majorBidi" w:hAnsiTheme="majorBidi" w:cstheme="majorBidi"/>
          <w:sz w:val="20"/>
          <w:szCs w:val="20"/>
        </w:rPr>
        <w:t xml:space="preserve">Students are expected to adhere to all guidelines in the Student Bulletin and Student Handbook (found online at astate.edu). In addition to all the guidelines therein, students in this class are expected to comply with the following: </w:t>
      </w:r>
    </w:p>
    <w:p w14:paraId="76C696C7" w14:textId="77777777" w:rsidR="00077326" w:rsidRPr="00EE3AC6" w:rsidRDefault="00077326" w:rsidP="00077326">
      <w:pPr>
        <w:widowControl w:val="0"/>
        <w:numPr>
          <w:ilvl w:val="1"/>
          <w:numId w:val="1"/>
        </w:numPr>
        <w:suppressAutoHyphens/>
        <w:rPr>
          <w:rFonts w:asciiTheme="majorBidi" w:hAnsiTheme="majorBidi" w:cstheme="majorBidi"/>
          <w:sz w:val="20"/>
          <w:szCs w:val="20"/>
        </w:rPr>
      </w:pPr>
      <w:r w:rsidRPr="00EE3AC6">
        <w:rPr>
          <w:rFonts w:asciiTheme="majorBidi" w:hAnsiTheme="majorBidi" w:cstheme="majorBidi"/>
          <w:sz w:val="20"/>
          <w:szCs w:val="20"/>
        </w:rPr>
        <w:t>Arrive to class on time and stay for the entirety of the class. If not, I reserve the right to mark you as absent for the day</w:t>
      </w:r>
    </w:p>
    <w:p w14:paraId="3B9337D8" w14:textId="77777777" w:rsidR="00077326" w:rsidRPr="00EE3AC6" w:rsidRDefault="00077326" w:rsidP="00077326">
      <w:pPr>
        <w:widowControl w:val="0"/>
        <w:numPr>
          <w:ilvl w:val="1"/>
          <w:numId w:val="1"/>
        </w:numPr>
        <w:suppressAutoHyphens/>
        <w:rPr>
          <w:rFonts w:asciiTheme="majorBidi" w:hAnsiTheme="majorBidi" w:cstheme="majorBidi"/>
          <w:sz w:val="20"/>
          <w:szCs w:val="20"/>
        </w:rPr>
      </w:pPr>
      <w:r w:rsidRPr="00EE3AC6">
        <w:rPr>
          <w:rFonts w:asciiTheme="majorBidi" w:hAnsiTheme="majorBidi" w:cstheme="majorBidi"/>
          <w:sz w:val="20"/>
          <w:szCs w:val="20"/>
        </w:rPr>
        <w:t>Attendance Policy: Missing more than 8 classes results in automatic failure from the course. Participation is weighted heavily, so I suggest missing no more than 3 classes to maintain good standing in this regard. The only excused absences will be documented and will pertain to university sanctioned events, illness, family emergency, or inclement weather. (Attending a routine dental appointment during my class is NOT an excused absence, e.g.).</w:t>
      </w:r>
    </w:p>
    <w:p w14:paraId="19D23482" w14:textId="55543268" w:rsidR="00077326" w:rsidRPr="00EE3AC6" w:rsidRDefault="00077326" w:rsidP="003662D9">
      <w:pPr>
        <w:widowControl w:val="0"/>
        <w:numPr>
          <w:ilvl w:val="1"/>
          <w:numId w:val="1"/>
        </w:numPr>
        <w:suppressAutoHyphens/>
        <w:rPr>
          <w:rFonts w:asciiTheme="majorBidi" w:eastAsia="Lucida Sans Unicode" w:hAnsiTheme="majorBidi" w:cstheme="majorBidi"/>
          <w:color w:val="000000"/>
          <w:kern w:val="1"/>
          <w:sz w:val="20"/>
          <w:szCs w:val="20"/>
        </w:rPr>
      </w:pPr>
      <w:r w:rsidRPr="00EE3AC6">
        <w:rPr>
          <w:rFonts w:asciiTheme="majorBidi" w:hAnsiTheme="majorBidi" w:cstheme="majorBidi"/>
          <w:sz w:val="20"/>
          <w:szCs w:val="20"/>
        </w:rPr>
        <w:t>Inclement Weather Policy: Information on campus closure can be found on the ASU web page, KASU, and local radio and television stations.  If inclement weather prevents you from being ab</w:t>
      </w:r>
      <w:r w:rsidR="003662D9">
        <w:rPr>
          <w:rFonts w:asciiTheme="majorBidi" w:hAnsiTheme="majorBidi" w:cstheme="majorBidi"/>
          <w:sz w:val="20"/>
          <w:szCs w:val="20"/>
        </w:rPr>
        <w:t>le to attend a class meeting, let me know.</w:t>
      </w:r>
      <w:r w:rsidRPr="00EE3AC6">
        <w:rPr>
          <w:rFonts w:asciiTheme="majorBidi" w:hAnsiTheme="majorBidi" w:cstheme="majorBidi"/>
          <w:sz w:val="20"/>
          <w:szCs w:val="20"/>
        </w:rPr>
        <w:t xml:space="preserve"> </w:t>
      </w:r>
    </w:p>
    <w:p w14:paraId="0317C728" w14:textId="77777777" w:rsidR="00077326" w:rsidRPr="00EE3AC6" w:rsidRDefault="00077326" w:rsidP="00077326">
      <w:pPr>
        <w:widowControl w:val="0"/>
        <w:numPr>
          <w:ilvl w:val="1"/>
          <w:numId w:val="1"/>
        </w:numPr>
        <w:suppressAutoHyphens/>
        <w:rPr>
          <w:rFonts w:asciiTheme="majorBidi" w:hAnsiTheme="majorBidi" w:cstheme="majorBidi"/>
          <w:sz w:val="20"/>
          <w:szCs w:val="20"/>
        </w:rPr>
      </w:pPr>
      <w:r w:rsidRPr="00EE3AC6">
        <w:rPr>
          <w:rFonts w:asciiTheme="majorBidi" w:hAnsiTheme="majorBidi" w:cstheme="majorBidi"/>
          <w:sz w:val="20"/>
          <w:szCs w:val="20"/>
        </w:rPr>
        <w:t>Cheating: Just Don't Do It! I reserve the right to maximally penalize you if I catch you cheating in any way (including failing you from the course). If you are unsure about what constitutes plagiarism, just ask. Better to be safe than sorry. Here is the official statement from the Handbook:</w:t>
      </w:r>
    </w:p>
    <w:p w14:paraId="423FF763" w14:textId="77777777" w:rsidR="00077326" w:rsidRPr="00EE3AC6" w:rsidRDefault="00077326" w:rsidP="00077326">
      <w:pPr>
        <w:rPr>
          <w:rFonts w:asciiTheme="majorBidi" w:hAnsiTheme="majorBidi" w:cstheme="majorBidi"/>
          <w:sz w:val="20"/>
          <w:szCs w:val="20"/>
        </w:rPr>
      </w:pP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r>
    </w:p>
    <w:p w14:paraId="2B02711A" w14:textId="77777777" w:rsidR="00077326" w:rsidRPr="00EE3AC6" w:rsidRDefault="00077326" w:rsidP="00077326">
      <w:pPr>
        <w:rPr>
          <w:rFonts w:asciiTheme="majorBidi" w:hAnsiTheme="majorBidi" w:cstheme="majorBidi"/>
          <w:b/>
          <w:sz w:val="20"/>
          <w:szCs w:val="20"/>
        </w:rPr>
      </w:pPr>
      <w:r w:rsidRPr="00EE3AC6">
        <w:rPr>
          <w:rFonts w:asciiTheme="majorBidi" w:hAnsiTheme="majorBidi" w:cstheme="majorBidi"/>
          <w:b/>
          <w:sz w:val="20"/>
          <w:szCs w:val="20"/>
        </w:rPr>
        <w:t>Academic Misconduct Policy:</w:t>
      </w:r>
    </w:p>
    <w:p w14:paraId="17B9BEA6" w14:textId="77777777" w:rsidR="00077326" w:rsidRPr="00EE3AC6" w:rsidRDefault="00077326" w:rsidP="00077326">
      <w:pPr>
        <w:rPr>
          <w:rFonts w:asciiTheme="majorBidi" w:hAnsiTheme="majorBidi" w:cstheme="majorBidi"/>
          <w:sz w:val="20"/>
          <w:szCs w:val="20"/>
        </w:rPr>
      </w:pPr>
    </w:p>
    <w:p w14:paraId="4BD3B5BA" w14:textId="77777777" w:rsidR="00077326" w:rsidRPr="00EE3AC6" w:rsidRDefault="00077326" w:rsidP="00077326">
      <w:pPr>
        <w:rPr>
          <w:rFonts w:asciiTheme="majorBidi" w:hAnsiTheme="majorBidi" w:cstheme="majorBidi"/>
          <w:sz w:val="20"/>
          <w:szCs w:val="20"/>
        </w:rPr>
      </w:pPr>
      <w:r w:rsidRPr="00EE3AC6">
        <w:rPr>
          <w:rFonts w:asciiTheme="majorBidi" w:hAnsiTheme="majorBidi" w:cstheme="majorBidi"/>
          <w:sz w:val="20"/>
          <w:szCs w:val="20"/>
        </w:rPr>
        <w:tab/>
      </w:r>
      <w:r w:rsidRPr="00EE3AC6">
        <w:rPr>
          <w:rFonts w:asciiTheme="majorBidi" w:hAnsiTheme="majorBidi" w:cstheme="majorBidi"/>
          <w:sz w:val="20"/>
          <w:szCs w:val="20"/>
        </w:rPr>
        <w:tab/>
        <w:t xml:space="preserve">Plagiarism (the act of taking and/or using the ideas, work, and/or writings of another person as </w:t>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t xml:space="preserve">one’s own) is a serious offense against academic integrity which could result in failure for the </w:t>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t xml:space="preserve">paper or assignment, failure for the course, and/or expulsion from Arkansas State University. </w:t>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t xml:space="preserve">Cheating is an act of dishonesty with the intention of obtaining and/or using information in a </w:t>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t xml:space="preserve">fraudulent manner. For further information, including specifics about what constitutes plagiarism </w:t>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t>or cheating, see ASU’s Academic Integrity Policy at:</w:t>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r>
      <w:r w:rsidRPr="00EE3AC6">
        <w:rPr>
          <w:rFonts w:asciiTheme="majorBidi" w:hAnsiTheme="majorBidi" w:cstheme="majorBidi"/>
          <w:sz w:val="20"/>
          <w:szCs w:val="20"/>
        </w:rPr>
        <w:tab/>
      </w:r>
      <w:hyperlink r:id="rId7" w:history="1">
        <w:r w:rsidRPr="00EE3AC6">
          <w:rPr>
            <w:rStyle w:val="Hyperlink"/>
            <w:rFonts w:asciiTheme="majorBidi" w:hAnsiTheme="majorBidi" w:cstheme="majorBidi"/>
            <w:sz w:val="20"/>
            <w:szCs w:val="20"/>
          </w:rPr>
          <w:t>http://studentconduct.astate.edu/AcademicIntegrity.html</w:t>
        </w:r>
      </w:hyperlink>
      <w:r w:rsidRPr="00EE3AC6">
        <w:rPr>
          <w:rFonts w:asciiTheme="majorBidi" w:hAnsiTheme="majorBidi" w:cstheme="majorBidi"/>
          <w:sz w:val="20"/>
          <w:szCs w:val="20"/>
        </w:rPr>
        <w:t xml:space="preserve">.  </w:t>
      </w:r>
    </w:p>
    <w:p w14:paraId="13EF8F18" w14:textId="77777777" w:rsidR="00077326" w:rsidRPr="00EE3AC6" w:rsidRDefault="00077326" w:rsidP="00077326">
      <w:pPr>
        <w:rPr>
          <w:rFonts w:asciiTheme="majorBidi" w:hAnsiTheme="majorBidi" w:cstheme="majorBidi"/>
          <w:sz w:val="20"/>
          <w:szCs w:val="20"/>
        </w:rPr>
      </w:pPr>
    </w:p>
    <w:p w14:paraId="68513C1F" w14:textId="77777777" w:rsidR="00077326" w:rsidRPr="00EE3AC6" w:rsidRDefault="00077326" w:rsidP="00077326">
      <w:pPr>
        <w:widowControl w:val="0"/>
        <w:numPr>
          <w:ilvl w:val="1"/>
          <w:numId w:val="1"/>
        </w:numPr>
        <w:suppressAutoHyphens/>
        <w:rPr>
          <w:rFonts w:asciiTheme="majorBidi" w:hAnsiTheme="majorBidi" w:cstheme="majorBidi"/>
          <w:sz w:val="20"/>
          <w:szCs w:val="20"/>
        </w:rPr>
      </w:pPr>
      <w:r w:rsidRPr="00EE3AC6">
        <w:rPr>
          <w:rFonts w:asciiTheme="majorBidi" w:hAnsiTheme="majorBidi" w:cstheme="majorBidi"/>
          <w:sz w:val="20"/>
          <w:szCs w:val="20"/>
        </w:rPr>
        <w:t>If you have a disability which makes it difficult for you to succeed in this course, please contact me as soon as possible.  Your privacy will be respected and every effort will be made to meet your needs.  All students requesting accommodations for disabilities should be registered through ASU’s Disability Services (870 972 3964).  If Disabilities Services determines you should be able to take tests in their office, it is your responsibility to schedule the test for the same time and date as the exam is administered to other students.</w:t>
      </w:r>
    </w:p>
    <w:p w14:paraId="0F7C5824" w14:textId="77777777" w:rsidR="00077326" w:rsidRPr="00EE3AC6" w:rsidRDefault="00077326" w:rsidP="00077326">
      <w:pPr>
        <w:widowControl w:val="0"/>
        <w:numPr>
          <w:ilvl w:val="1"/>
          <w:numId w:val="1"/>
        </w:numPr>
        <w:suppressAutoHyphens/>
        <w:rPr>
          <w:rFonts w:asciiTheme="majorBidi" w:hAnsiTheme="majorBidi" w:cstheme="majorBidi"/>
          <w:sz w:val="20"/>
          <w:szCs w:val="20"/>
        </w:rPr>
      </w:pPr>
      <w:r w:rsidRPr="00EE3AC6">
        <w:rPr>
          <w:rFonts w:asciiTheme="majorBidi" w:hAnsiTheme="majorBidi" w:cstheme="majorBidi"/>
          <w:sz w:val="20"/>
          <w:szCs w:val="20"/>
        </w:rPr>
        <w:t>Policy on Missed Assignments/Make up work: The only reasons I will accept late or missed assignments are documented emergencies, illnesses, deaths in the family, or weather related issues.</w:t>
      </w:r>
    </w:p>
    <w:p w14:paraId="304E1F9E" w14:textId="538DF590" w:rsidR="00077326" w:rsidRDefault="00077326" w:rsidP="00077326">
      <w:pPr>
        <w:widowControl w:val="0"/>
        <w:numPr>
          <w:ilvl w:val="1"/>
          <w:numId w:val="1"/>
        </w:numPr>
        <w:suppressAutoHyphens/>
        <w:rPr>
          <w:rFonts w:asciiTheme="majorBidi" w:hAnsiTheme="majorBidi" w:cstheme="majorBidi"/>
          <w:sz w:val="20"/>
          <w:szCs w:val="20"/>
        </w:rPr>
      </w:pPr>
      <w:r w:rsidRPr="00EE3AC6">
        <w:rPr>
          <w:rFonts w:asciiTheme="majorBidi" w:hAnsiTheme="majorBidi" w:cstheme="majorBidi"/>
          <w:sz w:val="20"/>
          <w:szCs w:val="20"/>
        </w:rPr>
        <w:t xml:space="preserve">Email Policy: You must email me with essential information, such as who you are, what class of mine you are in, and what your question or concern is. I try to adhere to the 24 hour response rule of thumb – if I have not responded to you within 24 hours, feel free to send a </w:t>
      </w:r>
      <w:proofErr w:type="spellStart"/>
      <w:r w:rsidRPr="00EE3AC6">
        <w:rPr>
          <w:rFonts w:asciiTheme="majorBidi" w:hAnsiTheme="majorBidi" w:cstheme="majorBidi"/>
          <w:sz w:val="20"/>
          <w:szCs w:val="20"/>
        </w:rPr>
        <w:t>followup</w:t>
      </w:r>
      <w:proofErr w:type="spellEnd"/>
      <w:r w:rsidRPr="00EE3AC6">
        <w:rPr>
          <w:rFonts w:asciiTheme="majorBidi" w:hAnsiTheme="majorBidi" w:cstheme="majorBidi"/>
          <w:sz w:val="20"/>
          <w:szCs w:val="20"/>
        </w:rPr>
        <w:t xml:space="preserve">, but be aware that if you have not addressed me properly, told me who you are and what exactly you need, I reserve the right not to respond. </w:t>
      </w:r>
    </w:p>
    <w:p w14:paraId="46925917" w14:textId="77777777" w:rsidR="007E62A8" w:rsidRPr="007F5535" w:rsidRDefault="007E62A8" w:rsidP="007E62A8">
      <w:pPr>
        <w:pStyle w:val="ListParagraph"/>
        <w:widowControl w:val="0"/>
        <w:numPr>
          <w:ilvl w:val="1"/>
          <w:numId w:val="1"/>
        </w:numPr>
        <w:suppressAutoHyphens/>
        <w:rPr>
          <w:sz w:val="20"/>
          <w:szCs w:val="20"/>
        </w:rPr>
      </w:pPr>
      <w:r w:rsidRPr="007F5535">
        <w:rPr>
          <w:b/>
          <w:bCs/>
          <w:sz w:val="20"/>
          <w:szCs w:val="20"/>
        </w:rPr>
        <w:t>Title IX and Child Maltreatment Reporting</w:t>
      </w:r>
      <w:r>
        <w:rPr>
          <w:b/>
          <w:bCs/>
          <w:sz w:val="20"/>
          <w:szCs w:val="20"/>
        </w:rPr>
        <w:t>:</w:t>
      </w:r>
      <w:r w:rsidRPr="007F5535">
        <w:rPr>
          <w:sz w:val="20"/>
          <w:szCs w:val="20"/>
        </w:rPr>
        <w:t xml:space="preserve"> As an Arkansas State University faculty member, it is my responsibility and my privilege to contribute to the creation of a safe learning environment for all ASU students. Because of my position as a member of the A-State faculty, I am also a mandatory reporter for purposes of Title IX and the Arkansas Child Maltreatment Act. I want you to be able to share information related to your life experiences with me or in class during this course. However, I also want you to understand that: (1) under the ASU System Child Maltreatment Reporting Policy, I must immediately report known or suspected child maltreatment by contacting both the Child Abuse Hotline and the University Policy Department; and (2) under the A-State Title IX Grievance Procedure, I must report to the A-State Title IX Coordinator incidences of sexual discrimination that I observe or that are reported to me. For purposes of Title IX, sexual discrimination includes sexual harassment, sexual assault, stalking, domestic violence, and dating violence occurring within the Title IX jurisdiction. Reports of sexual assault, sexual violence, stalking, domestic violence, and dating violence will also be reported to law enforcement authorities. You may also report instances of sexual discrimination directly by contacting the A-State at Title IX office or </w:t>
      </w:r>
      <w:hyperlink r:id="rId8" w:history="1">
        <w:r w:rsidRPr="00CA2B1C">
          <w:rPr>
            <w:rStyle w:val="Hyperlink"/>
            <w:sz w:val="20"/>
            <w:szCs w:val="20"/>
          </w:rPr>
          <w:t>title9@astate.edu</w:t>
        </w:r>
      </w:hyperlink>
      <w:r w:rsidRPr="007F5535">
        <w:rPr>
          <w:sz w:val="20"/>
          <w:szCs w:val="20"/>
        </w:rPr>
        <w:t xml:space="preserve">. </w:t>
      </w:r>
    </w:p>
    <w:p w14:paraId="77709C52" w14:textId="77777777" w:rsidR="007E62A8" w:rsidRPr="007F5535" w:rsidRDefault="007E62A8" w:rsidP="007E62A8">
      <w:pPr>
        <w:pStyle w:val="ListParagraph"/>
        <w:widowControl w:val="0"/>
        <w:numPr>
          <w:ilvl w:val="1"/>
          <w:numId w:val="1"/>
        </w:numPr>
        <w:suppressAutoHyphens/>
        <w:rPr>
          <w:sz w:val="20"/>
          <w:szCs w:val="20"/>
        </w:rPr>
      </w:pPr>
      <w:r w:rsidRPr="007F5535">
        <w:rPr>
          <w:b/>
          <w:bCs/>
          <w:sz w:val="20"/>
          <w:szCs w:val="20"/>
        </w:rPr>
        <w:t>Educational Equity Statement</w:t>
      </w:r>
      <w:r>
        <w:rPr>
          <w:b/>
          <w:bCs/>
          <w:sz w:val="20"/>
          <w:szCs w:val="20"/>
        </w:rPr>
        <w:t>:</w:t>
      </w:r>
      <w:r w:rsidRPr="007F5535">
        <w:rPr>
          <w:sz w:val="20"/>
          <w:szCs w:val="20"/>
        </w:rPr>
        <w:t xml:space="preserve"> A-State takes great pride to foster a diverse and inclusive environment for students, faculty, and staff. Acts of discrimination and/or harassment on the basis of color, sex, sexual orientation, gender identity, race, age, national origin, religion, marital status, veteran status, genetic information or disability in any of its practices, policies or procedures are not tolerated. This includes, but is not limited to, employment, admissions, educational services, programs or activities which it operates or financial aid. It is the responsibility of all departments and all personnel, supervisory and non-supervisory, to see that this policy is implemented throughout the university. When applicable, students are encouraged to follow the Student Rights Grievance Procedure outlined in the Student Handbook. Reports can also be submitted to institutionalequity@astate.edu. Incidents involving claims of disability based discrimination should be reported to Access and Accommodations Services using their Grievance Process Form. Direct all inquiries regarding the nondiscrimination policy to the Office of Title IX and Institutional Equity, 870-680-4161 and the Administration Building, Room 104. </w:t>
      </w:r>
    </w:p>
    <w:p w14:paraId="3629F53E" w14:textId="77777777" w:rsidR="007E62A8" w:rsidRDefault="007E62A8" w:rsidP="007E62A8">
      <w:pPr>
        <w:widowControl w:val="0"/>
        <w:suppressAutoHyphens/>
        <w:rPr>
          <w:sz w:val="20"/>
          <w:szCs w:val="20"/>
        </w:rPr>
      </w:pPr>
    </w:p>
    <w:p w14:paraId="02B22451" w14:textId="77777777" w:rsidR="007E62A8" w:rsidRPr="007F5535" w:rsidRDefault="007E62A8" w:rsidP="007E62A8">
      <w:pPr>
        <w:pStyle w:val="ListParagraph"/>
        <w:numPr>
          <w:ilvl w:val="1"/>
          <w:numId w:val="1"/>
        </w:numPr>
        <w:rPr>
          <w:sz w:val="20"/>
          <w:szCs w:val="20"/>
        </w:rPr>
      </w:pPr>
      <w:r w:rsidRPr="007F5535">
        <w:rPr>
          <w:b/>
          <w:bCs/>
          <w:sz w:val="20"/>
          <w:szCs w:val="20"/>
        </w:rPr>
        <w:t>COVID</w:t>
      </w:r>
      <w:r>
        <w:rPr>
          <w:b/>
          <w:bCs/>
          <w:sz w:val="20"/>
          <w:szCs w:val="20"/>
        </w:rPr>
        <w:t>/Infections Disease</w:t>
      </w:r>
      <w:r w:rsidRPr="007F5535">
        <w:rPr>
          <w:b/>
          <w:bCs/>
          <w:sz w:val="20"/>
          <w:szCs w:val="20"/>
        </w:rPr>
        <w:t xml:space="preserve"> polic</w:t>
      </w:r>
      <w:r>
        <w:rPr>
          <w:b/>
          <w:bCs/>
          <w:sz w:val="20"/>
          <w:szCs w:val="20"/>
        </w:rPr>
        <w:t>y</w:t>
      </w:r>
      <w:r w:rsidRPr="007F5535">
        <w:rPr>
          <w:b/>
          <w:bCs/>
          <w:sz w:val="20"/>
          <w:szCs w:val="20"/>
        </w:rPr>
        <w:t>:</w:t>
      </w:r>
      <w:r w:rsidRPr="007F5535">
        <w:rPr>
          <w:sz w:val="20"/>
          <w:szCs w:val="20"/>
        </w:rPr>
        <w:t xml:space="preserve"> I will be adhering to the guidelines on A-State’s website pertaining to COVID</w:t>
      </w:r>
      <w:r>
        <w:rPr>
          <w:sz w:val="20"/>
          <w:szCs w:val="20"/>
        </w:rPr>
        <w:t xml:space="preserve"> and other </w:t>
      </w:r>
      <w:proofErr w:type="spellStart"/>
      <w:r>
        <w:rPr>
          <w:sz w:val="20"/>
          <w:szCs w:val="20"/>
        </w:rPr>
        <w:t>infections</w:t>
      </w:r>
      <w:proofErr w:type="spellEnd"/>
      <w:r>
        <w:rPr>
          <w:sz w:val="20"/>
          <w:szCs w:val="20"/>
        </w:rPr>
        <w:t xml:space="preserve"> diseases</w:t>
      </w:r>
      <w:r w:rsidRPr="007F5535">
        <w:rPr>
          <w:sz w:val="20"/>
          <w:szCs w:val="20"/>
        </w:rPr>
        <w:t xml:space="preserve"> (</w:t>
      </w:r>
      <w:hyperlink r:id="rId9" w:history="1">
        <w:r w:rsidRPr="007F5535">
          <w:rPr>
            <w:rStyle w:val="Hyperlink"/>
            <w:sz w:val="20"/>
            <w:szCs w:val="20"/>
          </w:rPr>
          <w:t>https://www.astate.edu/safety</w:t>
        </w:r>
        <w:r w:rsidRPr="007F5535">
          <w:rPr>
            <w:rStyle w:val="Hyperlink"/>
            <w:sz w:val="20"/>
            <w:szCs w:val="20"/>
          </w:rPr>
          <w:t>/</w:t>
        </w:r>
        <w:r w:rsidRPr="007F5535">
          <w:rPr>
            <w:rStyle w:val="Hyperlink"/>
            <w:sz w:val="20"/>
            <w:szCs w:val="20"/>
          </w:rPr>
          <w:t>novel-coronavirus/campus-communications/</w:t>
        </w:r>
      </w:hyperlink>
      <w:r w:rsidRPr="007F5535">
        <w:rPr>
          <w:sz w:val="20"/>
          <w:szCs w:val="20"/>
        </w:rPr>
        <w:t xml:space="preserve">), and you are expected to do the same. In addition to these guidelines, I ask that you observe the following course policies and my preferences for my own personal safety and the safety of my family: </w:t>
      </w:r>
    </w:p>
    <w:p w14:paraId="0727F445" w14:textId="77777777" w:rsidR="007E62A8" w:rsidRPr="007F5535" w:rsidRDefault="007E62A8" w:rsidP="007E62A8">
      <w:pPr>
        <w:numPr>
          <w:ilvl w:val="2"/>
          <w:numId w:val="1"/>
        </w:numPr>
        <w:rPr>
          <w:sz w:val="20"/>
          <w:szCs w:val="20"/>
        </w:rPr>
      </w:pPr>
      <w:r w:rsidRPr="007F5535">
        <w:rPr>
          <w:sz w:val="20"/>
          <w:szCs w:val="20"/>
        </w:rPr>
        <w:t>Do not approach me within fewer than 6 feet</w:t>
      </w:r>
    </w:p>
    <w:p w14:paraId="22D2C16E" w14:textId="77777777" w:rsidR="007E62A8" w:rsidRDefault="007E62A8" w:rsidP="007E62A8">
      <w:pPr>
        <w:numPr>
          <w:ilvl w:val="2"/>
          <w:numId w:val="1"/>
        </w:numPr>
        <w:rPr>
          <w:sz w:val="20"/>
          <w:szCs w:val="20"/>
        </w:rPr>
      </w:pPr>
      <w:r w:rsidRPr="007F5535">
        <w:rPr>
          <w:sz w:val="20"/>
          <w:szCs w:val="20"/>
        </w:rPr>
        <w:t xml:space="preserve">Schedule office hours with me over Zoom. Even if I am in my office, it is too cramped in there for a safe visit. </w:t>
      </w:r>
    </w:p>
    <w:p w14:paraId="0A535293" w14:textId="77777777" w:rsidR="007E62A8" w:rsidRDefault="007E62A8" w:rsidP="007E62A8">
      <w:pPr>
        <w:numPr>
          <w:ilvl w:val="2"/>
          <w:numId w:val="1"/>
        </w:numPr>
        <w:rPr>
          <w:sz w:val="20"/>
          <w:szCs w:val="20"/>
        </w:rPr>
      </w:pPr>
      <w:r>
        <w:rPr>
          <w:sz w:val="20"/>
          <w:szCs w:val="20"/>
        </w:rPr>
        <w:t xml:space="preserve">If you are sick, please stay home! We will work together to keep you up to date. Just communicate with me, </w:t>
      </w:r>
    </w:p>
    <w:p w14:paraId="39938FC8" w14:textId="77777777" w:rsidR="007E62A8" w:rsidRPr="007F5535" w:rsidRDefault="007E62A8" w:rsidP="007E62A8">
      <w:pPr>
        <w:ind w:left="2160"/>
        <w:rPr>
          <w:sz w:val="20"/>
          <w:szCs w:val="20"/>
        </w:rPr>
      </w:pPr>
    </w:p>
    <w:p w14:paraId="6CFFBA97" w14:textId="77777777" w:rsidR="007E62A8" w:rsidRPr="007F5535" w:rsidRDefault="007E62A8" w:rsidP="007E62A8">
      <w:pPr>
        <w:pStyle w:val="ListParagraph"/>
        <w:numPr>
          <w:ilvl w:val="1"/>
          <w:numId w:val="1"/>
        </w:numPr>
        <w:rPr>
          <w:rFonts w:eastAsia="Times New Roman" w:cs="Times New Roman"/>
          <w:sz w:val="20"/>
          <w:szCs w:val="20"/>
        </w:rPr>
      </w:pPr>
      <w:r w:rsidRPr="007F5535">
        <w:rPr>
          <w:rFonts w:eastAsia="Times New Roman" w:cs="Times New Roman"/>
          <w:b/>
          <w:bCs/>
          <w:sz w:val="20"/>
          <w:szCs w:val="20"/>
        </w:rPr>
        <w:t>Notice Concerning the Possibility of Interruption of Instruction Due to an Emergency</w:t>
      </w:r>
      <w:r w:rsidRPr="007F5535">
        <w:rPr>
          <w:rFonts w:eastAsia="Times New Roman" w:cs="Times New Roman"/>
          <w:sz w:val="20"/>
          <w:szCs w:val="20"/>
        </w:rPr>
        <w:t xml:space="preserve">: While it is the goal of Arkansas State University to offer face-to-face classes for its on-campus programs, the university recognizes that in the event of emergency it may become necessary to shift courses into </w:t>
      </w:r>
      <w:r w:rsidRPr="007F5535">
        <w:rPr>
          <w:rFonts w:eastAsia="Times New Roman" w:cs="Times New Roman"/>
          <w:sz w:val="20"/>
          <w:szCs w:val="20"/>
        </w:rPr>
        <w:lastRenderedPageBreak/>
        <w:t>hybrid or online delivery modes. The recent experience of the COVID-19 pandemic made this necessary; however, the same need to shift could be the product of other natural or civil disasters, and could be for short or extended periods of time. To prepare, this means nearly every course offered will have a component where high-speed, reliable internet access is essential to course success. Other technology such as web cameras or specific software may be required by instructors to facilitate remote instruction (please consult the A-State Internet and Technical Services website for more details). Students are strongly encouraged to secure broadband access they can use for the semester either on or off campus. In the event of the need to change the mode of instruction, A-State will endeavor to keep as many on-campus facilities and support areas open as possible dependent on the circumstances of the emergency. Please remember, all official notifications are made through your official A-State email account, the university website, and Blackboard Learn. You are responsible for checking your university email to ensure you receive the latest updates regarding this course.</w:t>
      </w:r>
    </w:p>
    <w:p w14:paraId="08127154" w14:textId="77777777" w:rsidR="007E62A8" w:rsidRPr="00EE3AC6" w:rsidRDefault="007E62A8" w:rsidP="007E62A8">
      <w:pPr>
        <w:widowControl w:val="0"/>
        <w:suppressAutoHyphens/>
        <w:ind w:left="1080"/>
        <w:rPr>
          <w:rFonts w:asciiTheme="majorBidi" w:hAnsiTheme="majorBidi" w:cstheme="majorBidi"/>
          <w:sz w:val="20"/>
          <w:szCs w:val="20"/>
        </w:rPr>
      </w:pPr>
    </w:p>
    <w:p w14:paraId="111502C7" w14:textId="77777777" w:rsidR="00DA4848" w:rsidRDefault="00DA4848"/>
    <w:sectPr w:rsidR="00DA4848" w:rsidSect="002523F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576B" w14:textId="77777777" w:rsidR="00FB7DFE" w:rsidRDefault="00FB7DFE" w:rsidP="00962500">
      <w:r>
        <w:separator/>
      </w:r>
    </w:p>
  </w:endnote>
  <w:endnote w:type="continuationSeparator" w:id="0">
    <w:p w14:paraId="3E643111" w14:textId="77777777" w:rsidR="00FB7DFE" w:rsidRDefault="00FB7DFE" w:rsidP="0096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592F" w14:textId="77777777" w:rsidR="00FB7DFE" w:rsidRDefault="00FB7DFE" w:rsidP="00962500">
      <w:r>
        <w:separator/>
      </w:r>
    </w:p>
  </w:footnote>
  <w:footnote w:type="continuationSeparator" w:id="0">
    <w:p w14:paraId="70527CC7" w14:textId="77777777" w:rsidR="00FB7DFE" w:rsidRDefault="00FB7DFE" w:rsidP="00962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5DAE3155"/>
    <w:multiLevelType w:val="hybridMultilevel"/>
    <w:tmpl w:val="780CC4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50"/>
    <w:rsid w:val="00000AC6"/>
    <w:rsid w:val="00032BDE"/>
    <w:rsid w:val="000364D3"/>
    <w:rsid w:val="00055D25"/>
    <w:rsid w:val="00057F1B"/>
    <w:rsid w:val="00077326"/>
    <w:rsid w:val="000D7AD3"/>
    <w:rsid w:val="001064F1"/>
    <w:rsid w:val="00117007"/>
    <w:rsid w:val="00126B5B"/>
    <w:rsid w:val="00175E7B"/>
    <w:rsid w:val="00187199"/>
    <w:rsid w:val="001976F4"/>
    <w:rsid w:val="00197C2C"/>
    <w:rsid w:val="001B08C5"/>
    <w:rsid w:val="001D0140"/>
    <w:rsid w:val="001E3534"/>
    <w:rsid w:val="001E594F"/>
    <w:rsid w:val="001F55B4"/>
    <w:rsid w:val="002061E0"/>
    <w:rsid w:val="00210003"/>
    <w:rsid w:val="0021554C"/>
    <w:rsid w:val="002523F8"/>
    <w:rsid w:val="00264DD9"/>
    <w:rsid w:val="002D55EA"/>
    <w:rsid w:val="00300E90"/>
    <w:rsid w:val="00316FD4"/>
    <w:rsid w:val="003662D9"/>
    <w:rsid w:val="00374CA2"/>
    <w:rsid w:val="00387098"/>
    <w:rsid w:val="003A1E82"/>
    <w:rsid w:val="0041318D"/>
    <w:rsid w:val="004403D2"/>
    <w:rsid w:val="00450F6B"/>
    <w:rsid w:val="00462ECD"/>
    <w:rsid w:val="004653DC"/>
    <w:rsid w:val="0049320F"/>
    <w:rsid w:val="004A5408"/>
    <w:rsid w:val="004B0C24"/>
    <w:rsid w:val="004C7693"/>
    <w:rsid w:val="004E30E6"/>
    <w:rsid w:val="005133E9"/>
    <w:rsid w:val="00537A78"/>
    <w:rsid w:val="00542018"/>
    <w:rsid w:val="005421BA"/>
    <w:rsid w:val="00596DD3"/>
    <w:rsid w:val="005E1AE7"/>
    <w:rsid w:val="00605D0A"/>
    <w:rsid w:val="00610490"/>
    <w:rsid w:val="00632755"/>
    <w:rsid w:val="00635BC9"/>
    <w:rsid w:val="006824F0"/>
    <w:rsid w:val="006E2564"/>
    <w:rsid w:val="0078004F"/>
    <w:rsid w:val="007E62A8"/>
    <w:rsid w:val="007E7408"/>
    <w:rsid w:val="007F0317"/>
    <w:rsid w:val="0085300C"/>
    <w:rsid w:val="0088534B"/>
    <w:rsid w:val="008B0392"/>
    <w:rsid w:val="0093385C"/>
    <w:rsid w:val="00944A4A"/>
    <w:rsid w:val="00962500"/>
    <w:rsid w:val="00970774"/>
    <w:rsid w:val="00976F80"/>
    <w:rsid w:val="00993FCB"/>
    <w:rsid w:val="009B72DF"/>
    <w:rsid w:val="009C102A"/>
    <w:rsid w:val="009C1820"/>
    <w:rsid w:val="00A10827"/>
    <w:rsid w:val="00A94650"/>
    <w:rsid w:val="00A94D5C"/>
    <w:rsid w:val="00AA1208"/>
    <w:rsid w:val="00AE5912"/>
    <w:rsid w:val="00B02031"/>
    <w:rsid w:val="00B158D8"/>
    <w:rsid w:val="00B708B6"/>
    <w:rsid w:val="00B7113E"/>
    <w:rsid w:val="00B8251E"/>
    <w:rsid w:val="00B86140"/>
    <w:rsid w:val="00B97EC0"/>
    <w:rsid w:val="00BA6176"/>
    <w:rsid w:val="00BB14BC"/>
    <w:rsid w:val="00BC1FDA"/>
    <w:rsid w:val="00C021AF"/>
    <w:rsid w:val="00C02C1C"/>
    <w:rsid w:val="00C06236"/>
    <w:rsid w:val="00C57A92"/>
    <w:rsid w:val="00C70D53"/>
    <w:rsid w:val="00CC39F3"/>
    <w:rsid w:val="00CC3E12"/>
    <w:rsid w:val="00CF40E7"/>
    <w:rsid w:val="00D06B3C"/>
    <w:rsid w:val="00D17D21"/>
    <w:rsid w:val="00D23C55"/>
    <w:rsid w:val="00D56C87"/>
    <w:rsid w:val="00D62EAE"/>
    <w:rsid w:val="00D70A0E"/>
    <w:rsid w:val="00D72CA7"/>
    <w:rsid w:val="00DA4848"/>
    <w:rsid w:val="00DA4ED6"/>
    <w:rsid w:val="00DC2EE5"/>
    <w:rsid w:val="00E010FF"/>
    <w:rsid w:val="00E1782D"/>
    <w:rsid w:val="00E22301"/>
    <w:rsid w:val="00E26522"/>
    <w:rsid w:val="00E4200E"/>
    <w:rsid w:val="00E516F9"/>
    <w:rsid w:val="00E606F6"/>
    <w:rsid w:val="00E73A70"/>
    <w:rsid w:val="00EE3BAB"/>
    <w:rsid w:val="00EE6A88"/>
    <w:rsid w:val="00EF7479"/>
    <w:rsid w:val="00F37918"/>
    <w:rsid w:val="00F720E5"/>
    <w:rsid w:val="00FB7DFE"/>
    <w:rsid w:val="00FC2BD4"/>
    <w:rsid w:val="00FD7743"/>
    <w:rsid w:val="00FF2B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D9ADC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4A4A"/>
    <w:rPr>
      <w:lang w:eastAsia="en-US"/>
    </w:rPr>
  </w:style>
  <w:style w:type="paragraph" w:styleId="Heading1">
    <w:name w:val="heading 1"/>
    <w:basedOn w:val="Normal"/>
    <w:next w:val="Normal"/>
    <w:link w:val="Heading1Char"/>
    <w:uiPriority w:val="9"/>
    <w:qFormat/>
    <w:rsid w:val="00D56C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848"/>
    <w:rPr>
      <w:color w:val="0000FF"/>
      <w:u w:val="single"/>
    </w:rPr>
  </w:style>
  <w:style w:type="table" w:styleId="TableGrid">
    <w:name w:val="Table Grid"/>
    <w:basedOn w:val="TableNormal"/>
    <w:uiPriority w:val="39"/>
    <w:rsid w:val="00DA4848"/>
    <w:rPr>
      <w:rFonts w:asciiTheme="majorBidi" w:hAnsiTheme="majorBid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6C87"/>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7E62A8"/>
    <w:pPr>
      <w:ind w:left="720"/>
      <w:contextualSpacing/>
    </w:pPr>
  </w:style>
  <w:style w:type="character" w:styleId="FollowedHyperlink">
    <w:name w:val="FollowedHyperlink"/>
    <w:basedOn w:val="DefaultParagraphFont"/>
    <w:uiPriority w:val="99"/>
    <w:semiHidden/>
    <w:unhideWhenUsed/>
    <w:rsid w:val="007E6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16">
      <w:bodyDiv w:val="1"/>
      <w:marLeft w:val="0"/>
      <w:marRight w:val="0"/>
      <w:marTop w:val="0"/>
      <w:marBottom w:val="0"/>
      <w:divBdr>
        <w:top w:val="none" w:sz="0" w:space="0" w:color="auto"/>
        <w:left w:val="none" w:sz="0" w:space="0" w:color="auto"/>
        <w:bottom w:val="none" w:sz="0" w:space="0" w:color="auto"/>
        <w:right w:val="none" w:sz="0" w:space="0" w:color="auto"/>
      </w:divBdr>
    </w:div>
    <w:div w:id="443427045">
      <w:bodyDiv w:val="1"/>
      <w:marLeft w:val="0"/>
      <w:marRight w:val="0"/>
      <w:marTop w:val="0"/>
      <w:marBottom w:val="0"/>
      <w:divBdr>
        <w:top w:val="none" w:sz="0" w:space="0" w:color="auto"/>
        <w:left w:val="none" w:sz="0" w:space="0" w:color="auto"/>
        <w:bottom w:val="none" w:sz="0" w:space="0" w:color="auto"/>
        <w:right w:val="none" w:sz="0" w:space="0" w:color="auto"/>
      </w:divBdr>
    </w:div>
    <w:div w:id="830416117">
      <w:bodyDiv w:val="1"/>
      <w:marLeft w:val="0"/>
      <w:marRight w:val="0"/>
      <w:marTop w:val="0"/>
      <w:marBottom w:val="0"/>
      <w:divBdr>
        <w:top w:val="none" w:sz="0" w:space="0" w:color="auto"/>
        <w:left w:val="none" w:sz="0" w:space="0" w:color="auto"/>
        <w:bottom w:val="none" w:sz="0" w:space="0" w:color="auto"/>
        <w:right w:val="none" w:sz="0" w:space="0" w:color="auto"/>
      </w:divBdr>
    </w:div>
    <w:div w:id="908032503">
      <w:bodyDiv w:val="1"/>
      <w:marLeft w:val="0"/>
      <w:marRight w:val="0"/>
      <w:marTop w:val="0"/>
      <w:marBottom w:val="0"/>
      <w:divBdr>
        <w:top w:val="none" w:sz="0" w:space="0" w:color="auto"/>
        <w:left w:val="none" w:sz="0" w:space="0" w:color="auto"/>
        <w:bottom w:val="none" w:sz="0" w:space="0" w:color="auto"/>
        <w:right w:val="none" w:sz="0" w:space="0" w:color="auto"/>
      </w:divBdr>
      <w:divsChild>
        <w:div w:id="1981110180">
          <w:marLeft w:val="0"/>
          <w:marRight w:val="0"/>
          <w:marTop w:val="0"/>
          <w:marBottom w:val="450"/>
          <w:divBdr>
            <w:top w:val="none" w:sz="0" w:space="0" w:color="auto"/>
            <w:left w:val="none" w:sz="0" w:space="0" w:color="auto"/>
            <w:bottom w:val="none" w:sz="0" w:space="0" w:color="auto"/>
            <w:right w:val="none" w:sz="0" w:space="0" w:color="auto"/>
          </w:divBdr>
          <w:divsChild>
            <w:div w:id="201600265">
              <w:marLeft w:val="0"/>
              <w:marRight w:val="0"/>
              <w:marTop w:val="0"/>
              <w:marBottom w:val="0"/>
              <w:divBdr>
                <w:top w:val="single" w:sz="6" w:space="0" w:color="222222"/>
                <w:left w:val="single" w:sz="2" w:space="0" w:color="222222"/>
                <w:bottom w:val="single" w:sz="12" w:space="0" w:color="222222"/>
                <w:right w:val="single" w:sz="2" w:space="0" w:color="222222"/>
              </w:divBdr>
              <w:divsChild>
                <w:div w:id="1543326329">
                  <w:marLeft w:val="-15"/>
                  <w:marRight w:val="-15"/>
                  <w:marTop w:val="0"/>
                  <w:marBottom w:val="0"/>
                  <w:divBdr>
                    <w:top w:val="none" w:sz="0" w:space="0" w:color="auto"/>
                    <w:left w:val="none" w:sz="0" w:space="0" w:color="auto"/>
                    <w:bottom w:val="none" w:sz="0" w:space="0" w:color="auto"/>
                    <w:right w:val="none" w:sz="0" w:space="0" w:color="auto"/>
                  </w:divBdr>
                </w:div>
                <w:div w:id="144317779">
                  <w:marLeft w:val="0"/>
                  <w:marRight w:val="0"/>
                  <w:marTop w:val="0"/>
                  <w:marBottom w:val="0"/>
                  <w:divBdr>
                    <w:top w:val="none" w:sz="0" w:space="0" w:color="auto"/>
                    <w:left w:val="none" w:sz="0" w:space="0" w:color="auto"/>
                    <w:bottom w:val="none" w:sz="0" w:space="0" w:color="auto"/>
                    <w:right w:val="none" w:sz="0" w:space="0" w:color="auto"/>
                  </w:divBdr>
                </w:div>
              </w:divsChild>
            </w:div>
            <w:div w:id="1307054968">
              <w:marLeft w:val="0"/>
              <w:marRight w:val="0"/>
              <w:marTop w:val="0"/>
              <w:marBottom w:val="0"/>
              <w:divBdr>
                <w:top w:val="none" w:sz="0" w:space="0" w:color="auto"/>
                <w:left w:val="none" w:sz="0" w:space="0" w:color="auto"/>
                <w:bottom w:val="none" w:sz="0" w:space="0" w:color="auto"/>
                <w:right w:val="none" w:sz="0" w:space="0" w:color="auto"/>
              </w:divBdr>
            </w:div>
          </w:divsChild>
        </w:div>
        <w:div w:id="1778016251">
          <w:marLeft w:val="0"/>
          <w:marRight w:val="-3511"/>
          <w:marTop w:val="0"/>
          <w:marBottom w:val="0"/>
          <w:divBdr>
            <w:top w:val="none" w:sz="0" w:space="0" w:color="auto"/>
            <w:left w:val="none" w:sz="0" w:space="0" w:color="auto"/>
            <w:bottom w:val="none" w:sz="0" w:space="0" w:color="auto"/>
            <w:right w:val="none" w:sz="0" w:space="0" w:color="auto"/>
          </w:divBdr>
          <w:divsChild>
            <w:div w:id="91165977">
              <w:marLeft w:val="0"/>
              <w:marRight w:val="4054"/>
              <w:marTop w:val="0"/>
              <w:marBottom w:val="0"/>
              <w:divBdr>
                <w:top w:val="none" w:sz="0" w:space="0" w:color="auto"/>
                <w:left w:val="none" w:sz="0" w:space="0" w:color="auto"/>
                <w:bottom w:val="none" w:sz="0" w:space="0" w:color="auto"/>
                <w:right w:val="none" w:sz="0" w:space="0" w:color="auto"/>
              </w:divBdr>
              <w:divsChild>
                <w:div w:id="1311443358">
                  <w:marLeft w:val="0"/>
                  <w:marRight w:val="0"/>
                  <w:marTop w:val="0"/>
                  <w:marBottom w:val="0"/>
                  <w:divBdr>
                    <w:top w:val="none" w:sz="0" w:space="0" w:color="auto"/>
                    <w:left w:val="none" w:sz="0" w:space="0" w:color="auto"/>
                    <w:bottom w:val="none" w:sz="0" w:space="0" w:color="auto"/>
                    <w:right w:val="none" w:sz="0" w:space="0" w:color="auto"/>
                  </w:divBdr>
                  <w:divsChild>
                    <w:div w:id="12848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4947">
          <w:marLeft w:val="0"/>
          <w:marRight w:val="0"/>
          <w:marTop w:val="0"/>
          <w:marBottom w:val="0"/>
          <w:divBdr>
            <w:top w:val="none" w:sz="0" w:space="0" w:color="auto"/>
            <w:left w:val="none" w:sz="0" w:space="0" w:color="auto"/>
            <w:bottom w:val="none" w:sz="0" w:space="0" w:color="auto"/>
            <w:right w:val="none" w:sz="0" w:space="0" w:color="auto"/>
          </w:divBdr>
          <w:divsChild>
            <w:div w:id="293484302">
              <w:marLeft w:val="0"/>
              <w:marRight w:val="0"/>
              <w:marTop w:val="0"/>
              <w:marBottom w:val="0"/>
              <w:divBdr>
                <w:top w:val="none" w:sz="0" w:space="0" w:color="auto"/>
                <w:left w:val="none" w:sz="0" w:space="0" w:color="auto"/>
                <w:bottom w:val="none" w:sz="0" w:space="0" w:color="auto"/>
                <w:right w:val="none" w:sz="0" w:space="0" w:color="auto"/>
              </w:divBdr>
            </w:div>
          </w:divsChild>
        </w:div>
        <w:div w:id="589508523">
          <w:marLeft w:val="0"/>
          <w:marRight w:val="0"/>
          <w:marTop w:val="0"/>
          <w:marBottom w:val="0"/>
          <w:divBdr>
            <w:top w:val="single" w:sz="6" w:space="2" w:color="000000"/>
            <w:left w:val="none" w:sz="0" w:space="0" w:color="auto"/>
            <w:bottom w:val="none" w:sz="0" w:space="0" w:color="auto"/>
            <w:right w:val="none" w:sz="0" w:space="0" w:color="auto"/>
          </w:divBdr>
          <w:divsChild>
            <w:div w:id="9449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8016">
      <w:bodyDiv w:val="1"/>
      <w:marLeft w:val="0"/>
      <w:marRight w:val="0"/>
      <w:marTop w:val="0"/>
      <w:marBottom w:val="0"/>
      <w:divBdr>
        <w:top w:val="none" w:sz="0" w:space="0" w:color="auto"/>
        <w:left w:val="none" w:sz="0" w:space="0" w:color="auto"/>
        <w:bottom w:val="none" w:sz="0" w:space="0" w:color="auto"/>
        <w:right w:val="none" w:sz="0" w:space="0" w:color="auto"/>
      </w:divBdr>
    </w:div>
    <w:div w:id="1320187016">
      <w:bodyDiv w:val="1"/>
      <w:marLeft w:val="0"/>
      <w:marRight w:val="0"/>
      <w:marTop w:val="0"/>
      <w:marBottom w:val="0"/>
      <w:divBdr>
        <w:top w:val="none" w:sz="0" w:space="0" w:color="auto"/>
        <w:left w:val="none" w:sz="0" w:space="0" w:color="auto"/>
        <w:bottom w:val="none" w:sz="0" w:space="0" w:color="auto"/>
        <w:right w:val="none" w:sz="0" w:space="0" w:color="auto"/>
      </w:divBdr>
    </w:div>
    <w:div w:id="1592658854">
      <w:bodyDiv w:val="1"/>
      <w:marLeft w:val="0"/>
      <w:marRight w:val="0"/>
      <w:marTop w:val="0"/>
      <w:marBottom w:val="0"/>
      <w:divBdr>
        <w:top w:val="none" w:sz="0" w:space="0" w:color="auto"/>
        <w:left w:val="none" w:sz="0" w:space="0" w:color="auto"/>
        <w:bottom w:val="none" w:sz="0" w:space="0" w:color="auto"/>
        <w:right w:val="none" w:sz="0" w:space="0" w:color="auto"/>
      </w:divBdr>
    </w:div>
    <w:div w:id="1707755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9@astate.edu" TargetMode="External"/><Relationship Id="rId3" Type="http://schemas.openxmlformats.org/officeDocument/2006/relationships/settings" Target="settings.xml"/><Relationship Id="rId7" Type="http://schemas.openxmlformats.org/officeDocument/2006/relationships/hyperlink" Target="http://studentconduct.astate.edu/AcademicIntegr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tate.edu/safety/novel-coronavirus/campus-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2788</Words>
  <Characters>14865</Characters>
  <Application>Microsoft Office Word</Application>
  <DocSecurity>0</DocSecurity>
  <Lines>243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Merritt</dc:creator>
  <cp:keywords/>
  <dc:description/>
  <cp:lastModifiedBy>Michele Merritt</cp:lastModifiedBy>
  <cp:revision>2</cp:revision>
  <dcterms:created xsi:type="dcterms:W3CDTF">2022-08-18T18:24:00Z</dcterms:created>
  <dcterms:modified xsi:type="dcterms:W3CDTF">2022-08-18T18:24:00Z</dcterms:modified>
</cp:coreProperties>
</file>